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6287" w14:textId="0FC35C91" w:rsidR="00FF604C" w:rsidRPr="006E0B5A" w:rsidRDefault="00FF604C" w:rsidP="00C23181">
      <w:pPr>
        <w:jc w:val="both"/>
        <w:rPr>
          <w:rFonts w:ascii="Tahoma" w:hAnsi="Tahoma" w:cs="Tahoma"/>
          <w:sz w:val="48"/>
          <w:szCs w:val="48"/>
        </w:rPr>
      </w:pPr>
      <w:r w:rsidRPr="006E0B5A">
        <w:rPr>
          <w:rFonts w:ascii="Tahoma" w:hAnsi="Tahoma" w:cs="Tahoma"/>
          <w:color w:val="365F91" w:themeColor="accent1" w:themeShade="BF"/>
          <w:sz w:val="48"/>
          <w:szCs w:val="48"/>
        </w:rPr>
        <w:t>Benton PUD Broadband</w:t>
      </w:r>
    </w:p>
    <w:p w14:paraId="33F8A91D" w14:textId="593C3896" w:rsidR="006E0B5A" w:rsidRDefault="006E0B5A" w:rsidP="00C23181">
      <w:pPr>
        <w:spacing w:after="0"/>
        <w:jc w:val="both"/>
        <w:rPr>
          <w:rFonts w:ascii="Tahoma" w:hAnsi="Tahoma" w:cs="Tahoma"/>
          <w:color w:val="365F91" w:themeColor="accent1" w:themeShade="BF"/>
          <w:sz w:val="28"/>
          <w:szCs w:val="28"/>
        </w:rPr>
      </w:pPr>
    </w:p>
    <w:p w14:paraId="657C8FBB" w14:textId="77777777" w:rsidR="00796647" w:rsidRPr="000E0BB0" w:rsidRDefault="002A0442" w:rsidP="00C23181">
      <w:pPr>
        <w:spacing w:after="0"/>
        <w:jc w:val="both"/>
        <w:rPr>
          <w:rFonts w:ascii="Tahoma" w:hAnsi="Tahoma" w:cs="Tahoma"/>
          <w:color w:val="365F91" w:themeColor="accent1" w:themeShade="BF"/>
          <w:sz w:val="28"/>
          <w:szCs w:val="28"/>
        </w:rPr>
      </w:pPr>
      <w:r w:rsidRPr="000E0BB0">
        <w:rPr>
          <w:rFonts w:ascii="Tahoma" w:hAnsi="Tahoma" w:cs="Tahoma"/>
          <w:color w:val="365F91" w:themeColor="accent1" w:themeShade="BF"/>
          <w:sz w:val="28"/>
          <w:szCs w:val="28"/>
        </w:rPr>
        <w:t>Introduction</w:t>
      </w:r>
    </w:p>
    <w:p w14:paraId="76A2DCBC" w14:textId="496E599E" w:rsidR="0047635F" w:rsidRDefault="005F1413" w:rsidP="00C23181">
      <w:pPr>
        <w:jc w:val="both"/>
      </w:pPr>
      <w:r w:rsidRPr="005F1413">
        <w:rPr>
          <w:noProof/>
        </w:rPr>
        <w:drawing>
          <wp:anchor distT="0" distB="0" distL="114300" distR="114300" simplePos="0" relativeHeight="251654144" behindDoc="0" locked="0" layoutInCell="1" allowOverlap="1" wp14:anchorId="06320CF3" wp14:editId="53975B4B">
            <wp:simplePos x="0" y="0"/>
            <wp:positionH relativeFrom="column">
              <wp:posOffset>4191000</wp:posOffset>
            </wp:positionH>
            <wp:positionV relativeFrom="paragraph">
              <wp:posOffset>670560</wp:posOffset>
            </wp:positionV>
            <wp:extent cx="2857143" cy="904762"/>
            <wp:effectExtent l="0" t="0" r="635" b="0"/>
            <wp:wrapThrough wrapText="bothSides">
              <wp:wrapPolygon edited="0">
                <wp:start x="0" y="0"/>
                <wp:lineTo x="0" y="20933"/>
                <wp:lineTo x="21461" y="20933"/>
                <wp:lineTo x="2146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143" cy="904762"/>
                    </a:xfrm>
                    <a:prstGeom prst="rect">
                      <a:avLst/>
                    </a:prstGeom>
                  </pic:spPr>
                </pic:pic>
              </a:graphicData>
            </a:graphic>
            <wp14:sizeRelH relativeFrom="page">
              <wp14:pctWidth>0</wp14:pctWidth>
            </wp14:sizeRelH>
            <wp14:sizeRelV relativeFrom="page">
              <wp14:pctHeight>0</wp14:pctHeight>
            </wp14:sizeRelV>
          </wp:anchor>
        </w:drawing>
      </w:r>
      <w:r w:rsidR="00244E4F">
        <w:t xml:space="preserve">In 2000, the Washington state legislature passed legislation enabling public utility districts </w:t>
      </w:r>
      <w:r w:rsidR="0042164D">
        <w:t xml:space="preserve">(PUDs) </w:t>
      </w:r>
      <w:r w:rsidR="00244E4F">
        <w:t xml:space="preserve">to provide wholesale telecommunication services. </w:t>
      </w:r>
      <w:r w:rsidR="0042164D">
        <w:t>PUDs are not authorized to provide telecommunication services to end users</w:t>
      </w:r>
      <w:r w:rsidR="001D637E">
        <w:t>; instead, the law</w:t>
      </w:r>
      <w:r w:rsidR="0042164D">
        <w:t xml:space="preserve"> requires </w:t>
      </w:r>
      <w:r w:rsidR="00F50EF9">
        <w:t xml:space="preserve">that utilities </w:t>
      </w:r>
      <w:r w:rsidR="0042164D">
        <w:t>operate in partnership with retail service providers</w:t>
      </w:r>
      <w:r w:rsidR="00302C2B">
        <w:t xml:space="preserve"> to connect customers to their networks</w:t>
      </w:r>
      <w:r w:rsidR="0042164D">
        <w:t xml:space="preserve">. </w:t>
      </w:r>
      <w:r w:rsidR="0047635F" w:rsidRPr="00D171BF">
        <w:t xml:space="preserve">Benton PUD has been in the broadband business </w:t>
      </w:r>
      <w:r w:rsidR="0047635F">
        <w:t>since 200</w:t>
      </w:r>
      <w:r w:rsidR="00DC1FF4">
        <w:t>1</w:t>
      </w:r>
      <w:r w:rsidR="0047635F">
        <w:t xml:space="preserve"> </w:t>
      </w:r>
      <w:r w:rsidR="0047635F" w:rsidRPr="00D171BF">
        <w:t xml:space="preserve">and currently has </w:t>
      </w:r>
      <w:r w:rsidR="00E1704F">
        <w:t>almost</w:t>
      </w:r>
      <w:r w:rsidR="0095335D">
        <w:t xml:space="preserve"> </w:t>
      </w:r>
      <w:r w:rsidR="00E1704F">
        <w:t>5</w:t>
      </w:r>
      <w:r w:rsidR="0053183D">
        <w:t>00</w:t>
      </w:r>
      <w:r w:rsidR="0047635F" w:rsidRPr="00D171BF">
        <w:t xml:space="preserve"> miles of fiber-optic cable installed throughout Benton County.</w:t>
      </w:r>
      <w:r w:rsidR="0047635F">
        <w:t xml:space="preserve"> </w:t>
      </w:r>
      <w:r w:rsidR="001D637E">
        <w:t xml:space="preserve">The </w:t>
      </w:r>
      <w:proofErr w:type="gramStart"/>
      <w:r w:rsidR="001D637E">
        <w:t>District</w:t>
      </w:r>
      <w:proofErr w:type="gramEnd"/>
      <w:r w:rsidR="001D637E">
        <w:t xml:space="preserve"> is</w:t>
      </w:r>
      <w:r w:rsidR="0047635F">
        <w:t xml:space="preserve"> a </w:t>
      </w:r>
      <w:r w:rsidR="0047635F" w:rsidRPr="00D171BF">
        <w:t xml:space="preserve">founding member and one of </w:t>
      </w:r>
      <w:r w:rsidR="0047635F">
        <w:t xml:space="preserve">ten current </w:t>
      </w:r>
      <w:r w:rsidR="0047635F" w:rsidRPr="00D171BF">
        <w:t>owners of Northwest Open Access Network (</w:t>
      </w:r>
      <w:proofErr w:type="spellStart"/>
      <w:r w:rsidR="0047635F" w:rsidRPr="00D171BF">
        <w:t>NoaNet</w:t>
      </w:r>
      <w:proofErr w:type="spellEnd"/>
      <w:r w:rsidR="0047635F" w:rsidRPr="00D171BF">
        <w:t xml:space="preserve">). </w:t>
      </w:r>
      <w:proofErr w:type="spellStart"/>
      <w:r w:rsidR="0047635F" w:rsidRPr="00D171BF">
        <w:t>NoaNet</w:t>
      </w:r>
      <w:proofErr w:type="spellEnd"/>
      <w:r w:rsidR="0047635F" w:rsidRPr="00130CB0">
        <w:t xml:space="preserve"> operates a </w:t>
      </w:r>
      <w:r w:rsidR="0047635F">
        <w:t xml:space="preserve">world-class high-speed broadband </w:t>
      </w:r>
      <w:r w:rsidR="0047635F" w:rsidRPr="00130CB0">
        <w:t xml:space="preserve">network </w:t>
      </w:r>
      <w:r w:rsidR="0047635F">
        <w:t xml:space="preserve">with </w:t>
      </w:r>
      <w:r w:rsidR="0047635F" w:rsidRPr="00130CB0">
        <w:t>over 3,</w:t>
      </w:r>
      <w:r w:rsidR="00001EE7">
        <w:t>3</w:t>
      </w:r>
      <w:r w:rsidR="0047635F" w:rsidRPr="00130CB0">
        <w:t xml:space="preserve">00 miles of fiber-optic cables </w:t>
      </w:r>
      <w:r w:rsidR="0047635F">
        <w:t xml:space="preserve">installed throughout the state including </w:t>
      </w:r>
      <w:r w:rsidR="0047635F" w:rsidRPr="00130CB0">
        <w:t>a major network hub located at Benton PUD’s offices in Kennewick</w:t>
      </w:r>
      <w:r w:rsidR="0047635F" w:rsidRPr="00D171BF">
        <w:t>.</w:t>
      </w:r>
    </w:p>
    <w:p w14:paraId="60FB1666" w14:textId="2282C42D" w:rsidR="0047635F" w:rsidRPr="003B5851" w:rsidRDefault="005C00E7" w:rsidP="00C23181">
      <w:pPr>
        <w:jc w:val="both"/>
      </w:pPr>
      <w:r>
        <w:rPr>
          <w:rFonts w:ascii="Tahoma" w:hAnsi="Tahoma" w:cs="Tahoma"/>
          <w:noProof/>
          <w:sz w:val="40"/>
          <w:szCs w:val="40"/>
        </w:rPr>
        <mc:AlternateContent>
          <mc:Choice Requires="wps">
            <w:drawing>
              <wp:anchor distT="0" distB="0" distL="114300" distR="114300" simplePos="0" relativeHeight="251659264" behindDoc="0" locked="0" layoutInCell="1" allowOverlap="1" wp14:anchorId="3A8D0ACF" wp14:editId="14FC50D5">
                <wp:simplePos x="0" y="0"/>
                <wp:positionH relativeFrom="column">
                  <wp:posOffset>4914900</wp:posOffset>
                </wp:positionH>
                <wp:positionV relativeFrom="paragraph">
                  <wp:posOffset>1695450</wp:posOffset>
                </wp:positionV>
                <wp:extent cx="1543685" cy="885825"/>
                <wp:effectExtent l="0" t="0" r="18415" b="28575"/>
                <wp:wrapNone/>
                <wp:docPr id="2" name="Rounded Rectangle 2"/>
                <wp:cNvGraphicFramePr/>
                <a:graphic xmlns:a="http://schemas.openxmlformats.org/drawingml/2006/main">
                  <a:graphicData uri="http://schemas.microsoft.com/office/word/2010/wordprocessingShape">
                    <wps:wsp>
                      <wps:cNvSpPr/>
                      <wps:spPr>
                        <a:xfrm>
                          <a:off x="0" y="0"/>
                          <a:ext cx="1543685" cy="885825"/>
                        </a:xfrm>
                        <a:prstGeom prst="roundRect">
                          <a:avLst/>
                        </a:prstGeom>
                        <a:solidFill>
                          <a:schemeClr val="tx2">
                            <a:lumMod val="40000"/>
                            <a:lumOff val="6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075E9A" w14:textId="1C8E2EB5" w:rsidR="005C00E7" w:rsidRPr="00D24825" w:rsidRDefault="005C00E7" w:rsidP="005C00E7">
                            <w:pPr>
                              <w:jc w:val="center"/>
                              <w:rPr>
                                <w:color w:val="000000" w:themeColor="text1"/>
                                <w:sz w:val="18"/>
                                <w:szCs w:val="18"/>
                              </w:rPr>
                            </w:pPr>
                            <w:r w:rsidRPr="00D24825">
                              <w:rPr>
                                <w:color w:val="000000" w:themeColor="text1"/>
                                <w:sz w:val="18"/>
                                <w:szCs w:val="18"/>
                              </w:rPr>
                              <w:t xml:space="preserve">Over the last </w:t>
                            </w:r>
                            <w:r w:rsidR="00F47AA7">
                              <w:rPr>
                                <w:color w:val="000000" w:themeColor="text1"/>
                                <w:sz w:val="18"/>
                                <w:szCs w:val="18"/>
                              </w:rPr>
                              <w:t>te</w:t>
                            </w:r>
                            <w:r w:rsidR="00F91A37">
                              <w:rPr>
                                <w:color w:val="000000" w:themeColor="text1"/>
                                <w:sz w:val="18"/>
                                <w:szCs w:val="18"/>
                              </w:rPr>
                              <w:t>n</w:t>
                            </w:r>
                            <w:r w:rsidR="00B26FDA" w:rsidRPr="00D24825">
                              <w:rPr>
                                <w:color w:val="000000" w:themeColor="text1"/>
                                <w:sz w:val="18"/>
                                <w:szCs w:val="18"/>
                              </w:rPr>
                              <w:t xml:space="preserve"> </w:t>
                            </w:r>
                            <w:r w:rsidRPr="00D24825">
                              <w:rPr>
                                <w:color w:val="000000" w:themeColor="text1"/>
                                <w:sz w:val="18"/>
                                <w:szCs w:val="18"/>
                              </w:rPr>
                              <w:t>years. Benton PUD’s Broadband has generated $</w:t>
                            </w:r>
                            <w:r w:rsidR="0038617D">
                              <w:rPr>
                                <w:color w:val="000000" w:themeColor="text1"/>
                                <w:sz w:val="18"/>
                                <w:szCs w:val="18"/>
                              </w:rPr>
                              <w:t>4.6</w:t>
                            </w:r>
                            <w:r w:rsidRPr="00D24825">
                              <w:rPr>
                                <w:color w:val="000000" w:themeColor="text1"/>
                                <w:sz w:val="18"/>
                                <w:szCs w:val="18"/>
                              </w:rPr>
                              <w:t xml:space="preserve"> million in positive cash </w:t>
                            </w:r>
                            <w:r w:rsidR="00D24825" w:rsidRPr="00D24825">
                              <w:rPr>
                                <w:color w:val="000000" w:themeColor="text1"/>
                                <w:sz w:val="18"/>
                                <w:szCs w:val="18"/>
                              </w:rPr>
                              <w:t>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D0ACF" id="Rounded Rectangle 2" o:spid="_x0000_s1026" style="position:absolute;left:0;text-align:left;margin-left:387pt;margin-top:133.5pt;width:121.5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" fillcolor="#8db3e2 [1311]" strokecolor="#c6d9f1 [671]" strokeweight="2pt">
                <v:textbox>
                  <w:txbxContent>
                    <w:p w14:paraId="36075E9A" w14:textId="1C8E2EB5" w:rsidR="005C00E7" w:rsidRPr="00D24825" w:rsidRDefault="005C00E7" w:rsidP="005C00E7">
                      <w:pPr>
                        <w:jc w:val="center"/>
                        <w:rPr>
                          <w:color w:val="000000" w:themeColor="text1"/>
                          <w:sz w:val="18"/>
                          <w:szCs w:val="18"/>
                        </w:rPr>
                      </w:pPr>
                      <w:r w:rsidRPr="00D24825">
                        <w:rPr>
                          <w:color w:val="000000" w:themeColor="text1"/>
                          <w:sz w:val="18"/>
                          <w:szCs w:val="18"/>
                        </w:rPr>
                        <w:t xml:space="preserve">Over the last </w:t>
                      </w:r>
                      <w:r w:rsidR="00F47AA7">
                        <w:rPr>
                          <w:color w:val="000000" w:themeColor="text1"/>
                          <w:sz w:val="18"/>
                          <w:szCs w:val="18"/>
                        </w:rPr>
                        <w:t>te</w:t>
                      </w:r>
                      <w:r w:rsidR="00F91A37">
                        <w:rPr>
                          <w:color w:val="000000" w:themeColor="text1"/>
                          <w:sz w:val="18"/>
                          <w:szCs w:val="18"/>
                        </w:rPr>
                        <w:t>n</w:t>
                      </w:r>
                      <w:r w:rsidR="00B26FDA" w:rsidRPr="00D24825">
                        <w:rPr>
                          <w:color w:val="000000" w:themeColor="text1"/>
                          <w:sz w:val="18"/>
                          <w:szCs w:val="18"/>
                        </w:rPr>
                        <w:t xml:space="preserve"> </w:t>
                      </w:r>
                      <w:r w:rsidRPr="00D24825">
                        <w:rPr>
                          <w:color w:val="000000" w:themeColor="text1"/>
                          <w:sz w:val="18"/>
                          <w:szCs w:val="18"/>
                        </w:rPr>
                        <w:t>years. Benton PUD’s Broadband has generated $</w:t>
                      </w:r>
                      <w:r w:rsidR="0038617D">
                        <w:rPr>
                          <w:color w:val="000000" w:themeColor="text1"/>
                          <w:sz w:val="18"/>
                          <w:szCs w:val="18"/>
                        </w:rPr>
                        <w:t>4.6</w:t>
                      </w:r>
                      <w:r w:rsidRPr="00D24825">
                        <w:rPr>
                          <w:color w:val="000000" w:themeColor="text1"/>
                          <w:sz w:val="18"/>
                          <w:szCs w:val="18"/>
                        </w:rPr>
                        <w:t xml:space="preserve"> million in positive cash </w:t>
                      </w:r>
                      <w:r w:rsidR="00D24825" w:rsidRPr="00D24825">
                        <w:rPr>
                          <w:color w:val="000000" w:themeColor="text1"/>
                          <w:sz w:val="18"/>
                          <w:szCs w:val="18"/>
                        </w:rPr>
                        <w:t>flow.</w:t>
                      </w:r>
                    </w:p>
                  </w:txbxContent>
                </v:textbox>
              </v:roundrect>
            </w:pict>
          </mc:Fallback>
        </mc:AlternateContent>
      </w:r>
      <w:proofErr w:type="spellStart"/>
      <w:r w:rsidR="0047635F" w:rsidRPr="00D171BF">
        <w:t>NoaNet</w:t>
      </w:r>
      <w:proofErr w:type="spellEnd"/>
      <w:r w:rsidR="0047635F" w:rsidRPr="00D171BF">
        <w:t xml:space="preserve"> and its members operat</w:t>
      </w:r>
      <w:r w:rsidR="0047635F">
        <w:t xml:space="preserve">e </w:t>
      </w:r>
      <w:r w:rsidR="0047635F" w:rsidRPr="00D171BF">
        <w:t xml:space="preserve">reliable, open-access wholesale broadband communications networks providing </w:t>
      </w:r>
      <w:r w:rsidR="0047635F" w:rsidRPr="00130CB0">
        <w:t>highly reliable, high speed broadband services to schools, libraries, hospitals, government agencies</w:t>
      </w:r>
      <w:r w:rsidR="00001EE7">
        <w:t>,</w:t>
      </w:r>
      <w:r w:rsidR="005908E2">
        <w:t xml:space="preserve"> telecom</w:t>
      </w:r>
      <w:r w:rsidR="00DC1FF4">
        <w:t>m</w:t>
      </w:r>
      <w:r w:rsidR="005908E2">
        <w:t>unications,</w:t>
      </w:r>
      <w:r w:rsidR="00001EE7">
        <w:t xml:space="preserve"> public safety,</w:t>
      </w:r>
      <w:r w:rsidR="0047635F" w:rsidRPr="00130CB0">
        <w:t xml:space="preserve"> and private businesses.</w:t>
      </w:r>
      <w:r w:rsidR="0047635F">
        <w:t xml:space="preserve"> </w:t>
      </w:r>
      <w:proofErr w:type="spellStart"/>
      <w:r w:rsidR="0047635F" w:rsidRPr="00130CB0">
        <w:t>NoaNet</w:t>
      </w:r>
      <w:proofErr w:type="spellEnd"/>
      <w:r w:rsidR="0047635F" w:rsidRPr="00130CB0">
        <w:t xml:space="preserve"> </w:t>
      </w:r>
      <w:r w:rsidR="00CB7755" w:rsidRPr="00130CB0">
        <w:t>partner</w:t>
      </w:r>
      <w:r w:rsidR="00CB7755">
        <w:t>s</w:t>
      </w:r>
      <w:r w:rsidR="00CB7755" w:rsidRPr="00130CB0">
        <w:t xml:space="preserve"> </w:t>
      </w:r>
      <w:r w:rsidR="0047635F" w:rsidRPr="00130CB0">
        <w:t xml:space="preserve">with public and private organizations including public utility districts, ports, tribes, cities, </w:t>
      </w:r>
      <w:proofErr w:type="gramStart"/>
      <w:r w:rsidR="0047635F" w:rsidRPr="00130CB0">
        <w:t>counties</w:t>
      </w:r>
      <w:proofErr w:type="gramEnd"/>
      <w:r w:rsidR="0047635F" w:rsidRPr="00130CB0">
        <w:t xml:space="preserve"> and competitive carriers to expand broadband services across the state of Washington. </w:t>
      </w:r>
      <w:r w:rsidR="00CB7755">
        <w:t>F</w:t>
      </w:r>
      <w:r w:rsidR="007400AB">
        <w:t xml:space="preserve">iber optic lines built have been instrumental in </w:t>
      </w:r>
      <w:proofErr w:type="spellStart"/>
      <w:r w:rsidR="007400AB">
        <w:t>NoaNet’s</w:t>
      </w:r>
      <w:proofErr w:type="spellEnd"/>
      <w:r w:rsidR="007400AB">
        <w:t xml:space="preserve"> statewide partnership to provide fiber optic services to </w:t>
      </w:r>
      <w:r w:rsidR="00AA7424">
        <w:t xml:space="preserve">remotely located </w:t>
      </w:r>
      <w:r w:rsidR="007400AB">
        <w:t>cellular towers in rural areas like Benton County</w:t>
      </w:r>
      <w:r w:rsidR="00E31420">
        <w:t xml:space="preserve">. </w:t>
      </w:r>
      <w:r w:rsidR="00DB7009">
        <w:t>High spee</w:t>
      </w:r>
      <w:r w:rsidR="00535107">
        <w:t xml:space="preserve">d fiber-optic based service to </w:t>
      </w:r>
      <w:r w:rsidR="00DB7009">
        <w:t xml:space="preserve">towers has been key </w:t>
      </w:r>
      <w:r w:rsidR="006574F1">
        <w:t>to providing</w:t>
      </w:r>
      <w:r w:rsidR="0047635F" w:rsidRPr="005D24F5">
        <w:t xml:space="preserve"> next generation cellular telephone services to many areas in the Tri-Cities.  </w:t>
      </w:r>
    </w:p>
    <w:p w14:paraId="1B973BDF" w14:textId="0A8CE7F8" w:rsidR="00956671" w:rsidRDefault="00956671" w:rsidP="00C23181">
      <w:pPr>
        <w:jc w:val="both"/>
      </w:pPr>
      <w:r>
        <w:t xml:space="preserve">Today, Benton PUD generates </w:t>
      </w:r>
      <w:r w:rsidR="00B26FDA">
        <w:t>over</w:t>
      </w:r>
      <w:r>
        <w:t xml:space="preserve"> $2 million annually in broadband revenue which </w:t>
      </w:r>
      <w:r w:rsidR="00D0280E">
        <w:t>exceeds annual expenditures and results in a</w:t>
      </w:r>
      <w:r>
        <w:t xml:space="preserve"> </w:t>
      </w:r>
      <w:r w:rsidR="00D0280E">
        <w:t xml:space="preserve">net </w:t>
      </w:r>
      <w:r>
        <w:t xml:space="preserve">positive cash flow. </w:t>
      </w:r>
      <w:bookmarkStart w:id="0" w:name="OLE_LINK1"/>
      <w:r w:rsidR="00470971">
        <w:t xml:space="preserve">Over the last </w:t>
      </w:r>
      <w:r w:rsidR="009F13BA">
        <w:t xml:space="preserve">ten </w:t>
      </w:r>
      <w:r w:rsidR="00470971">
        <w:t>years</w:t>
      </w:r>
      <w:r>
        <w:t>, broadband has generated $</w:t>
      </w:r>
      <w:r w:rsidR="0038617D">
        <w:t>4.6</w:t>
      </w:r>
      <w:r w:rsidR="00535107">
        <w:t xml:space="preserve"> </w:t>
      </w:r>
      <w:r>
        <w:t xml:space="preserve">million in </w:t>
      </w:r>
      <w:r w:rsidR="00D0280E">
        <w:t xml:space="preserve">net </w:t>
      </w:r>
      <w:r>
        <w:t>positive cash flow.</w:t>
      </w:r>
    </w:p>
    <w:bookmarkEnd w:id="0"/>
    <w:p w14:paraId="6DE39111" w14:textId="77777777" w:rsidR="006E0B5A" w:rsidRDefault="006E0B5A" w:rsidP="000B7786">
      <w:pPr>
        <w:spacing w:after="0"/>
        <w:jc w:val="both"/>
        <w:rPr>
          <w:rFonts w:ascii="Tahoma" w:hAnsi="Tahoma" w:cs="Tahoma"/>
          <w:color w:val="365F91" w:themeColor="accent1" w:themeShade="BF"/>
          <w:sz w:val="28"/>
          <w:szCs w:val="28"/>
        </w:rPr>
      </w:pPr>
    </w:p>
    <w:p w14:paraId="72413120" w14:textId="77777777" w:rsidR="00AD48B8" w:rsidRDefault="00AD48B8" w:rsidP="000B7786">
      <w:pPr>
        <w:spacing w:after="0"/>
        <w:jc w:val="both"/>
        <w:rPr>
          <w:rFonts w:ascii="Tahoma" w:hAnsi="Tahoma" w:cs="Tahoma"/>
          <w:color w:val="365F91" w:themeColor="accent1" w:themeShade="BF"/>
          <w:sz w:val="28"/>
          <w:szCs w:val="28"/>
        </w:rPr>
      </w:pPr>
    </w:p>
    <w:p w14:paraId="4A069562" w14:textId="77777777" w:rsidR="00AD48B8" w:rsidRDefault="00AD48B8" w:rsidP="000B7786">
      <w:pPr>
        <w:spacing w:after="0"/>
        <w:jc w:val="both"/>
        <w:rPr>
          <w:rFonts w:ascii="Tahoma" w:hAnsi="Tahoma" w:cs="Tahoma"/>
          <w:color w:val="365F91" w:themeColor="accent1" w:themeShade="BF"/>
          <w:sz w:val="28"/>
          <w:szCs w:val="28"/>
        </w:rPr>
      </w:pPr>
    </w:p>
    <w:p w14:paraId="799DABA3" w14:textId="77777777" w:rsidR="00AD48B8" w:rsidRDefault="00AD48B8" w:rsidP="000B7786">
      <w:pPr>
        <w:spacing w:after="0"/>
        <w:jc w:val="both"/>
        <w:rPr>
          <w:rFonts w:ascii="Tahoma" w:hAnsi="Tahoma" w:cs="Tahoma"/>
          <w:color w:val="365F91" w:themeColor="accent1" w:themeShade="BF"/>
          <w:sz w:val="28"/>
          <w:szCs w:val="28"/>
        </w:rPr>
      </w:pPr>
    </w:p>
    <w:p w14:paraId="30CE80A8" w14:textId="77777777" w:rsidR="00AD48B8" w:rsidRDefault="00AD48B8" w:rsidP="000B7786">
      <w:pPr>
        <w:spacing w:after="0"/>
        <w:jc w:val="both"/>
        <w:rPr>
          <w:rFonts w:ascii="Tahoma" w:hAnsi="Tahoma" w:cs="Tahoma"/>
          <w:color w:val="365F91" w:themeColor="accent1" w:themeShade="BF"/>
          <w:sz w:val="28"/>
          <w:szCs w:val="28"/>
        </w:rPr>
      </w:pPr>
    </w:p>
    <w:p w14:paraId="7D2A6AD8" w14:textId="77777777" w:rsidR="00AD48B8" w:rsidRDefault="00AD48B8" w:rsidP="000B7786">
      <w:pPr>
        <w:spacing w:after="0"/>
        <w:jc w:val="both"/>
        <w:rPr>
          <w:rFonts w:ascii="Tahoma" w:hAnsi="Tahoma" w:cs="Tahoma"/>
          <w:color w:val="365F91" w:themeColor="accent1" w:themeShade="BF"/>
          <w:sz w:val="28"/>
          <w:szCs w:val="28"/>
        </w:rPr>
      </w:pPr>
    </w:p>
    <w:p w14:paraId="4E41297E" w14:textId="38145886" w:rsidR="0047635F" w:rsidRPr="000E0BB0" w:rsidRDefault="00AB5D02" w:rsidP="000B7786">
      <w:pPr>
        <w:spacing w:after="0"/>
        <w:jc w:val="both"/>
        <w:rPr>
          <w:rFonts w:ascii="Tahoma" w:hAnsi="Tahoma" w:cs="Tahoma"/>
          <w:color w:val="365F91" w:themeColor="accent1" w:themeShade="BF"/>
          <w:sz w:val="28"/>
          <w:szCs w:val="28"/>
        </w:rPr>
      </w:pPr>
      <w:r w:rsidRPr="000E0BB0">
        <w:rPr>
          <w:rFonts w:ascii="Tahoma" w:hAnsi="Tahoma" w:cs="Tahoma"/>
          <w:color w:val="365F91" w:themeColor="accent1" w:themeShade="BF"/>
          <w:sz w:val="28"/>
          <w:szCs w:val="28"/>
        </w:rPr>
        <w:lastRenderedPageBreak/>
        <w:t>Open Access Model</w:t>
      </w:r>
    </w:p>
    <w:p w14:paraId="34E1AB67" w14:textId="20A49663" w:rsidR="00AB5D02" w:rsidRPr="009C5A7D" w:rsidRDefault="00F36390" w:rsidP="000B7786">
      <w:pPr>
        <w:spacing w:after="0"/>
        <w:jc w:val="both"/>
      </w:pPr>
      <w:r w:rsidRPr="005908E2">
        <w:rPr>
          <w:noProof/>
        </w:rPr>
        <w:drawing>
          <wp:anchor distT="0" distB="0" distL="114300" distR="114300" simplePos="0" relativeHeight="251663360" behindDoc="1" locked="0" layoutInCell="1" allowOverlap="1" wp14:anchorId="4BE7936E" wp14:editId="0F9CDFE2">
            <wp:simplePos x="0" y="0"/>
            <wp:positionH relativeFrom="column">
              <wp:posOffset>4829175</wp:posOffset>
            </wp:positionH>
            <wp:positionV relativeFrom="paragraph">
              <wp:posOffset>1469390</wp:posOffset>
            </wp:positionV>
            <wp:extent cx="1590675" cy="883920"/>
            <wp:effectExtent l="57150" t="57150" r="47625" b="495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883920"/>
                    </a:xfrm>
                    <a:prstGeom prst="roundRect">
                      <a:avLst>
                        <a:gd name="adj" fmla="val 16667"/>
                      </a:avLst>
                    </a:prstGeom>
                    <a:ln>
                      <a:solidFill>
                        <a:schemeClr val="accent1">
                          <a:lumMod val="40000"/>
                          <a:lumOff val="60000"/>
                        </a:schemeClr>
                      </a:solid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B5D02" w:rsidRPr="009C5A7D">
        <w:t xml:space="preserve">Benton PUD’s </w:t>
      </w:r>
      <w:r w:rsidR="009409B9" w:rsidRPr="009C5A7D">
        <w:t xml:space="preserve">broadband </w:t>
      </w:r>
      <w:r w:rsidR="00AB5D02" w:rsidRPr="009C5A7D">
        <w:t xml:space="preserve">network </w:t>
      </w:r>
      <w:r w:rsidR="009C5A7D" w:rsidRPr="009C5A7D">
        <w:t xml:space="preserve">and business </w:t>
      </w:r>
      <w:r w:rsidR="009409B9" w:rsidRPr="009C5A7D">
        <w:t xml:space="preserve">structure is based on </w:t>
      </w:r>
      <w:r w:rsidR="00AB5D02" w:rsidRPr="009C5A7D">
        <w:t xml:space="preserve">an </w:t>
      </w:r>
      <w:r w:rsidR="00F50EF9">
        <w:t>“</w:t>
      </w:r>
      <w:r w:rsidR="00AB5D02" w:rsidRPr="009C5A7D">
        <w:t>open access</w:t>
      </w:r>
      <w:r w:rsidR="00F50EF9">
        <w:t>”</w:t>
      </w:r>
      <w:r w:rsidR="00AB5D02" w:rsidRPr="009C5A7D">
        <w:t xml:space="preserve"> model. This means that any entity </w:t>
      </w:r>
      <w:r w:rsidR="009C5A7D" w:rsidRPr="009C5A7D">
        <w:t xml:space="preserve">may </w:t>
      </w:r>
      <w:r w:rsidR="00AB5D02" w:rsidRPr="009C5A7D">
        <w:t>use the system</w:t>
      </w:r>
      <w:r w:rsidR="009C5A7D" w:rsidRPr="009C5A7D">
        <w:t xml:space="preserve"> even if they do not own physical infrastructure themselves</w:t>
      </w:r>
      <w:r w:rsidR="00AB5D02" w:rsidRPr="009C5A7D">
        <w:t xml:space="preserve">. </w:t>
      </w:r>
      <w:r w:rsidR="009C5A7D" w:rsidRPr="009C5A7D">
        <w:t xml:space="preserve">The open access model along with a transparent and non-discriminatory rate structure </w:t>
      </w:r>
      <w:r w:rsidR="009C5A7D">
        <w:t xml:space="preserve">has made </w:t>
      </w:r>
      <w:r w:rsidR="009C5A7D" w:rsidRPr="009C5A7D">
        <w:t xml:space="preserve">Benton PUD’s broadband </w:t>
      </w:r>
      <w:r w:rsidR="009409B9" w:rsidRPr="009C5A7D">
        <w:t xml:space="preserve">network a key </w:t>
      </w:r>
      <w:r w:rsidR="009C5A7D">
        <w:t xml:space="preserve">contributor to </w:t>
      </w:r>
      <w:r w:rsidR="009409B9" w:rsidRPr="009C5A7D">
        <w:t>business recruit</w:t>
      </w:r>
      <w:r w:rsidR="009C5A7D">
        <w:t>ment</w:t>
      </w:r>
      <w:r w:rsidR="009409B9" w:rsidRPr="009C5A7D">
        <w:t xml:space="preserve">, </w:t>
      </w:r>
      <w:proofErr w:type="gramStart"/>
      <w:r w:rsidR="009409B9" w:rsidRPr="009C5A7D">
        <w:t>retention</w:t>
      </w:r>
      <w:proofErr w:type="gramEnd"/>
      <w:r w:rsidR="009C5A7D">
        <w:t xml:space="preserve"> and </w:t>
      </w:r>
      <w:r w:rsidR="009409B9" w:rsidRPr="009C5A7D">
        <w:t xml:space="preserve">expansion </w:t>
      </w:r>
      <w:r w:rsidR="0002335A">
        <w:t>in our community</w:t>
      </w:r>
      <w:r w:rsidR="00E90CF9">
        <w:t xml:space="preserve">. In addition, open access has resulted in </w:t>
      </w:r>
      <w:proofErr w:type="gramStart"/>
      <w:r w:rsidR="00E90CF9">
        <w:t>a number of</w:t>
      </w:r>
      <w:proofErr w:type="gramEnd"/>
      <w:r w:rsidR="00E90CF9">
        <w:t xml:space="preserve"> significant partnerships with both private and public entities to improve health care, education, emergency services and the overall quality of life in our community</w:t>
      </w:r>
      <w:r w:rsidR="009409B9" w:rsidRPr="009C5A7D">
        <w:t xml:space="preserve">.  </w:t>
      </w:r>
    </w:p>
    <w:p w14:paraId="1AA42DF9" w14:textId="10586BA2" w:rsidR="00AD48B8" w:rsidRDefault="00AD48B8" w:rsidP="00533AFF">
      <w:pPr>
        <w:spacing w:after="0"/>
        <w:jc w:val="both"/>
        <w:rPr>
          <w:rFonts w:ascii="Tahoma" w:hAnsi="Tahoma" w:cs="Tahoma"/>
          <w:color w:val="365F91" w:themeColor="accent1" w:themeShade="BF"/>
          <w:sz w:val="28"/>
          <w:szCs w:val="28"/>
        </w:rPr>
      </w:pPr>
    </w:p>
    <w:p w14:paraId="5C4E2166" w14:textId="0BC17913" w:rsidR="00533AFF" w:rsidRPr="000B7786" w:rsidRDefault="00533AFF" w:rsidP="00533AFF">
      <w:pPr>
        <w:spacing w:after="0"/>
        <w:jc w:val="both"/>
        <w:rPr>
          <w:rFonts w:ascii="Tahoma" w:hAnsi="Tahoma" w:cs="Tahoma"/>
          <w:sz w:val="28"/>
          <w:szCs w:val="28"/>
        </w:rPr>
      </w:pPr>
      <w:r w:rsidRPr="000E0BB0">
        <w:rPr>
          <w:rFonts w:ascii="Tahoma" w:hAnsi="Tahoma" w:cs="Tahoma"/>
          <w:color w:val="365F91" w:themeColor="accent1" w:themeShade="BF"/>
          <w:sz w:val="28"/>
          <w:szCs w:val="28"/>
        </w:rPr>
        <w:t xml:space="preserve">Benefits of </w:t>
      </w:r>
      <w:r w:rsidR="00F8597D" w:rsidRPr="000E0BB0">
        <w:rPr>
          <w:rFonts w:ascii="Tahoma" w:hAnsi="Tahoma" w:cs="Tahoma"/>
          <w:color w:val="365F91" w:themeColor="accent1" w:themeShade="BF"/>
          <w:sz w:val="28"/>
          <w:szCs w:val="28"/>
        </w:rPr>
        <w:t xml:space="preserve">a </w:t>
      </w:r>
      <w:r w:rsidR="00275BBF">
        <w:rPr>
          <w:rFonts w:ascii="Tahoma" w:hAnsi="Tahoma" w:cs="Tahoma"/>
          <w:color w:val="365F91" w:themeColor="accent1" w:themeShade="BF"/>
          <w:sz w:val="28"/>
          <w:szCs w:val="28"/>
        </w:rPr>
        <w:t>P</w:t>
      </w:r>
      <w:r w:rsidR="00F8597D" w:rsidRPr="000E0BB0">
        <w:rPr>
          <w:rFonts w:ascii="Tahoma" w:hAnsi="Tahoma" w:cs="Tahoma"/>
          <w:color w:val="365F91" w:themeColor="accent1" w:themeShade="BF"/>
          <w:sz w:val="28"/>
          <w:szCs w:val="28"/>
        </w:rPr>
        <w:t xml:space="preserve">ublic </w:t>
      </w:r>
      <w:r w:rsidR="00275BBF">
        <w:rPr>
          <w:rFonts w:ascii="Tahoma" w:hAnsi="Tahoma" w:cs="Tahoma"/>
          <w:color w:val="365F91" w:themeColor="accent1" w:themeShade="BF"/>
          <w:sz w:val="28"/>
          <w:szCs w:val="28"/>
        </w:rPr>
        <w:t>F</w:t>
      </w:r>
      <w:r w:rsidRPr="000E0BB0">
        <w:rPr>
          <w:rFonts w:ascii="Tahoma" w:hAnsi="Tahoma" w:cs="Tahoma"/>
          <w:color w:val="365F91" w:themeColor="accent1" w:themeShade="BF"/>
          <w:sz w:val="28"/>
          <w:szCs w:val="28"/>
        </w:rPr>
        <w:t xml:space="preserve">iber </w:t>
      </w:r>
      <w:r w:rsidR="00275BBF">
        <w:rPr>
          <w:rFonts w:ascii="Tahoma" w:hAnsi="Tahoma" w:cs="Tahoma"/>
          <w:color w:val="365F91" w:themeColor="accent1" w:themeShade="BF"/>
          <w:sz w:val="28"/>
          <w:szCs w:val="28"/>
        </w:rPr>
        <w:t>S</w:t>
      </w:r>
      <w:r w:rsidRPr="000E0BB0">
        <w:rPr>
          <w:rFonts w:ascii="Tahoma" w:hAnsi="Tahoma" w:cs="Tahoma"/>
          <w:color w:val="365F91" w:themeColor="accent1" w:themeShade="BF"/>
          <w:sz w:val="28"/>
          <w:szCs w:val="28"/>
        </w:rPr>
        <w:t>ystem</w:t>
      </w:r>
    </w:p>
    <w:p w14:paraId="3C6423DE" w14:textId="6605FF19" w:rsidR="00533AFF" w:rsidRDefault="00533AFF" w:rsidP="00533AFF">
      <w:pPr>
        <w:jc w:val="both"/>
      </w:pPr>
      <w:r>
        <w:t xml:space="preserve">Benton PUD broadband has brought numerous benefits to our community including world-class highspeed internet access to schools, libraries, governments, emergency responders, and health-care providers. Further, several national cell phone carriers are using Benton PUD fiber for data transport from </w:t>
      </w:r>
      <w:r w:rsidR="009A5C20" w:rsidRPr="00BD30E4">
        <w:t>7</w:t>
      </w:r>
      <w:r w:rsidR="00DC1FF4">
        <w:t>5</w:t>
      </w:r>
      <w:r w:rsidRPr="00BD30E4">
        <w:t xml:space="preserve"> cellular tower sites</w:t>
      </w:r>
      <w:r>
        <w:t xml:space="preserve">. This service </w:t>
      </w:r>
      <w:r w:rsidR="00CB7755">
        <w:t xml:space="preserve">initially </w:t>
      </w:r>
      <w:r>
        <w:t>helped enable 4G LTE cellular service in the Tri Cities</w:t>
      </w:r>
      <w:r w:rsidR="00CB7755">
        <w:t xml:space="preserve"> and will </w:t>
      </w:r>
      <w:r w:rsidR="004600CC">
        <w:t xml:space="preserve">soon </w:t>
      </w:r>
      <w:r w:rsidR="00CB7755">
        <w:t xml:space="preserve">serve as the backbone for advanced wireless/5G </w:t>
      </w:r>
      <w:r w:rsidR="004600CC">
        <w:t>communications</w:t>
      </w:r>
      <w:r>
        <w:t xml:space="preserve">. </w:t>
      </w:r>
      <w:r w:rsidR="004074B7">
        <w:t xml:space="preserve">These partnerships between Benton PUD, </w:t>
      </w:r>
      <w:proofErr w:type="spellStart"/>
      <w:r w:rsidR="004074B7">
        <w:t>NoaNet</w:t>
      </w:r>
      <w:proofErr w:type="spellEnd"/>
      <w:r w:rsidR="004074B7">
        <w:t xml:space="preserve"> and private cellular telephone carriers in Benton County are a testimony to the reliability, </w:t>
      </w:r>
      <w:proofErr w:type="gramStart"/>
      <w:r w:rsidR="004074B7">
        <w:t>speed</w:t>
      </w:r>
      <w:proofErr w:type="gramEnd"/>
      <w:r w:rsidR="004074B7">
        <w:t xml:space="preserve"> and extent of </w:t>
      </w:r>
      <w:proofErr w:type="spellStart"/>
      <w:r w:rsidR="004074B7">
        <w:t>NoaNet</w:t>
      </w:r>
      <w:proofErr w:type="spellEnd"/>
      <w:r w:rsidR="004074B7">
        <w:t xml:space="preserve"> and Benton PUD’s fiber-optic networks and to the ongoing value of public broadband networks in our community.</w:t>
      </w:r>
    </w:p>
    <w:p w14:paraId="68C0BF02" w14:textId="2274C7E0" w:rsidR="00316AA9" w:rsidRDefault="00316AA9" w:rsidP="00533AFF">
      <w:pPr>
        <w:jc w:val="both"/>
      </w:pPr>
      <w:r>
        <w:t xml:space="preserve">As indicated earlier, wholesale public broadband in our state operates under an open access model. That means that any retail service provider, or other wholesale provider, can use the system without fear of discriminatory pricing. Further, this model encourages public/private partnerships to form to help build the infrastructure for the community. </w:t>
      </w:r>
    </w:p>
    <w:p w14:paraId="456C94E1" w14:textId="5A52B953" w:rsidR="005C00E7" w:rsidRDefault="00F36390" w:rsidP="00533AFF">
      <w:pPr>
        <w:jc w:val="both"/>
      </w:pPr>
      <w:r w:rsidRPr="005908E2">
        <w:rPr>
          <w:noProof/>
        </w:rPr>
        <w:drawing>
          <wp:anchor distT="0" distB="0" distL="114300" distR="114300" simplePos="0" relativeHeight="251672576" behindDoc="1" locked="0" layoutInCell="1" allowOverlap="1" wp14:anchorId="1A2622D0" wp14:editId="66EC1261">
            <wp:simplePos x="0" y="0"/>
            <wp:positionH relativeFrom="column">
              <wp:posOffset>4772025</wp:posOffset>
            </wp:positionH>
            <wp:positionV relativeFrom="page">
              <wp:posOffset>7075170</wp:posOffset>
            </wp:positionV>
            <wp:extent cx="1600200" cy="889222"/>
            <wp:effectExtent l="57150" t="57150" r="57150" b="44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889222"/>
                    </a:xfrm>
                    <a:prstGeom prst="roundRect">
                      <a:avLst>
                        <a:gd name="adj" fmla="val 16667"/>
                      </a:avLst>
                    </a:prstGeom>
                    <a:ln>
                      <a:solidFill>
                        <a:schemeClr val="accent1">
                          <a:lumMod val="40000"/>
                          <a:lumOff val="60000"/>
                        </a:schemeClr>
                      </a:solid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533AFF">
        <w:t xml:space="preserve">The </w:t>
      </w:r>
      <w:proofErr w:type="gramStart"/>
      <w:r w:rsidR="00533AFF">
        <w:t>District</w:t>
      </w:r>
      <w:proofErr w:type="gramEnd"/>
      <w:r w:rsidR="00533AFF">
        <w:t xml:space="preserve"> also receives many internal operational benefits from the broadband network including </w:t>
      </w:r>
      <w:r w:rsidR="004600CC">
        <w:t xml:space="preserve">multiple, diverse connection paths </w:t>
      </w:r>
      <w:r w:rsidR="00533AFF">
        <w:t>between the Kennewick and Prosser administrative facilit</w:t>
      </w:r>
      <w:r w:rsidR="00786B42">
        <w:t>ies</w:t>
      </w:r>
      <w:r w:rsidR="00533AFF">
        <w:t xml:space="preserve"> computer networks and data transport services for our advanced metering infrastructure (AMI) and substation remote control systems. Energy readings and diagnostic data from the </w:t>
      </w:r>
      <w:proofErr w:type="gramStart"/>
      <w:r w:rsidR="00533AFF">
        <w:t>District’s</w:t>
      </w:r>
      <w:proofErr w:type="gramEnd"/>
      <w:r w:rsidR="00533AFF">
        <w:t xml:space="preserve"> </w:t>
      </w:r>
      <w:r w:rsidR="00524E90">
        <w:t xml:space="preserve">over </w:t>
      </w:r>
      <w:r w:rsidR="00CD22FC">
        <w:t>5</w:t>
      </w:r>
      <w:r w:rsidR="000D2103">
        <w:t>6</w:t>
      </w:r>
      <w:r w:rsidR="00533AFF" w:rsidRPr="00CD22FC">
        <w:t>,000 electric service meters</w:t>
      </w:r>
      <w:r w:rsidR="00533AFF">
        <w:t xml:space="preserve"> are relayed from AMI radio transceivers located on the hill tops around the area through fiber-optic cables connected to the broadband network.  Fiber-optic lines are also providing high speed connections to </w:t>
      </w:r>
      <w:r w:rsidR="004600CC">
        <w:t>many</w:t>
      </w:r>
      <w:r w:rsidR="00533AFF">
        <w:t xml:space="preserve"> of the </w:t>
      </w:r>
      <w:proofErr w:type="gramStart"/>
      <w:r w:rsidR="00533AFF">
        <w:t>District’s</w:t>
      </w:r>
      <w:proofErr w:type="gramEnd"/>
      <w:r w:rsidR="00533AFF">
        <w:t xml:space="preserve"> distribution substations for improved remote control and monitoring of high voltage equipment that is essential for reliable service to our electric customers. </w:t>
      </w:r>
    </w:p>
    <w:p w14:paraId="27845751" w14:textId="77777777" w:rsidR="00AD48B8" w:rsidRDefault="00AD48B8" w:rsidP="00D0280E">
      <w:pPr>
        <w:spacing w:after="0"/>
        <w:jc w:val="both"/>
        <w:rPr>
          <w:rFonts w:ascii="Tahoma" w:hAnsi="Tahoma" w:cs="Tahoma"/>
          <w:color w:val="365F91" w:themeColor="accent1" w:themeShade="BF"/>
          <w:sz w:val="28"/>
          <w:szCs w:val="28"/>
        </w:rPr>
      </w:pPr>
    </w:p>
    <w:p w14:paraId="71985DD1" w14:textId="77777777" w:rsidR="00FA2C07" w:rsidRPr="00C01705" w:rsidRDefault="00240323" w:rsidP="00D0280E">
      <w:pPr>
        <w:spacing w:after="0"/>
        <w:jc w:val="both"/>
        <w:rPr>
          <w:rFonts w:ascii="Arial" w:hAnsi="Arial" w:cs="Arial"/>
          <w:color w:val="17365D" w:themeColor="text2" w:themeShade="BF"/>
          <w:sz w:val="18"/>
          <w:szCs w:val="18"/>
        </w:rPr>
      </w:pPr>
      <w:r w:rsidRPr="000E0BB0">
        <w:rPr>
          <w:rFonts w:ascii="Tahoma" w:hAnsi="Tahoma" w:cs="Tahoma"/>
          <w:color w:val="365F91" w:themeColor="accent1" w:themeShade="BF"/>
          <w:sz w:val="28"/>
          <w:szCs w:val="28"/>
        </w:rPr>
        <w:lastRenderedPageBreak/>
        <w:t>Broadband</w:t>
      </w:r>
      <w:r w:rsidR="0047635F" w:rsidRPr="000E0BB0">
        <w:rPr>
          <w:rFonts w:ascii="Tahoma" w:hAnsi="Tahoma" w:cs="Tahoma"/>
          <w:color w:val="365F91" w:themeColor="accent1" w:themeShade="BF"/>
          <w:sz w:val="28"/>
          <w:szCs w:val="28"/>
        </w:rPr>
        <w:t xml:space="preserve"> Financial Information</w:t>
      </w:r>
      <w:r w:rsidR="00FA2C07" w:rsidRPr="000E0BB0">
        <w:rPr>
          <w:rFonts w:ascii="Arial" w:hAnsi="Arial" w:cs="Arial"/>
          <w:color w:val="365F91" w:themeColor="accent1" w:themeShade="BF"/>
          <w:sz w:val="18"/>
          <w:szCs w:val="18"/>
        </w:rPr>
        <w:t xml:space="preserve"> </w:t>
      </w:r>
    </w:p>
    <w:p w14:paraId="7D541235" w14:textId="77777777" w:rsidR="00427F62" w:rsidRDefault="005C00E7" w:rsidP="00C23181">
      <w:pPr>
        <w:jc w:val="both"/>
      </w:pPr>
      <w:r>
        <w:rPr>
          <w:noProof/>
        </w:rPr>
        <mc:AlternateContent>
          <mc:Choice Requires="wps">
            <w:drawing>
              <wp:anchor distT="0" distB="0" distL="114300" distR="114300" simplePos="0" relativeHeight="251656192" behindDoc="0" locked="0" layoutInCell="1" allowOverlap="1" wp14:anchorId="3678B87C" wp14:editId="504A2FBB">
                <wp:simplePos x="0" y="0"/>
                <wp:positionH relativeFrom="column">
                  <wp:posOffset>4907915</wp:posOffset>
                </wp:positionH>
                <wp:positionV relativeFrom="paragraph">
                  <wp:posOffset>118745</wp:posOffset>
                </wp:positionV>
                <wp:extent cx="1798955" cy="1023620"/>
                <wp:effectExtent l="0" t="0" r="10795" b="24130"/>
                <wp:wrapNone/>
                <wp:docPr id="12" name="Rounded Rectangle 12"/>
                <wp:cNvGraphicFramePr/>
                <a:graphic xmlns:a="http://schemas.openxmlformats.org/drawingml/2006/main">
                  <a:graphicData uri="http://schemas.microsoft.com/office/word/2010/wordprocessingShape">
                    <wps:wsp>
                      <wps:cNvSpPr/>
                      <wps:spPr>
                        <a:xfrm>
                          <a:off x="0" y="0"/>
                          <a:ext cx="1798955" cy="1023620"/>
                        </a:xfrm>
                        <a:prstGeom prst="roundRect">
                          <a:avLst/>
                        </a:prstGeom>
                        <a:solidFill>
                          <a:schemeClr val="tx2">
                            <a:lumMod val="40000"/>
                            <a:lumOff val="6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E3A26" w14:textId="77777777" w:rsidR="004A560B" w:rsidRDefault="004A560B" w:rsidP="004213E1">
                            <w:pPr>
                              <w:spacing w:after="0" w:line="240" w:lineRule="auto"/>
                              <w:jc w:val="center"/>
                              <w:rPr>
                                <w:color w:val="000000" w:themeColor="text1"/>
                                <w:sz w:val="18"/>
                                <w:szCs w:val="18"/>
                              </w:rPr>
                            </w:pPr>
                            <w:r w:rsidRPr="004A560B">
                              <w:rPr>
                                <w:color w:val="000000" w:themeColor="text1"/>
                                <w:sz w:val="18"/>
                                <w:szCs w:val="18"/>
                              </w:rPr>
                              <w:t>Benton PUD</w:t>
                            </w:r>
                            <w:r>
                              <w:rPr>
                                <w:color w:val="000000" w:themeColor="text1"/>
                                <w:sz w:val="18"/>
                                <w:szCs w:val="18"/>
                              </w:rPr>
                              <w:t xml:space="preserve"> </w:t>
                            </w:r>
                            <w:r w:rsidR="00427F62">
                              <w:rPr>
                                <w:color w:val="000000" w:themeColor="text1"/>
                                <w:sz w:val="18"/>
                                <w:szCs w:val="18"/>
                              </w:rPr>
                              <w:t xml:space="preserve">broadband </w:t>
                            </w:r>
                            <w:r>
                              <w:rPr>
                                <w:color w:val="000000" w:themeColor="text1"/>
                                <w:sz w:val="18"/>
                                <w:szCs w:val="18"/>
                              </w:rPr>
                              <w:t>assets:</w:t>
                            </w:r>
                          </w:p>
                          <w:p w14:paraId="1BE99EC5" w14:textId="7BE6B71D" w:rsidR="004213E1" w:rsidRDefault="00E81818" w:rsidP="004213E1">
                            <w:pPr>
                              <w:spacing w:after="0" w:line="240" w:lineRule="auto"/>
                              <w:jc w:val="center"/>
                              <w:rPr>
                                <w:color w:val="000000" w:themeColor="text1"/>
                                <w:sz w:val="18"/>
                                <w:szCs w:val="18"/>
                              </w:rPr>
                            </w:pPr>
                            <w:r>
                              <w:rPr>
                                <w:b/>
                                <w:color w:val="000000" w:themeColor="text1"/>
                                <w:sz w:val="18"/>
                                <w:szCs w:val="18"/>
                              </w:rPr>
                              <w:t>499</w:t>
                            </w:r>
                            <w:r w:rsidRPr="004213E1">
                              <w:rPr>
                                <w:b/>
                                <w:color w:val="000000" w:themeColor="text1"/>
                                <w:sz w:val="18"/>
                                <w:szCs w:val="18"/>
                              </w:rPr>
                              <w:t xml:space="preserve"> </w:t>
                            </w:r>
                            <w:r w:rsidR="004213E1" w:rsidRPr="004213E1">
                              <w:rPr>
                                <w:b/>
                                <w:color w:val="000000" w:themeColor="text1"/>
                                <w:sz w:val="18"/>
                                <w:szCs w:val="18"/>
                              </w:rPr>
                              <w:t>miles</w:t>
                            </w:r>
                            <w:r w:rsidR="00427F62">
                              <w:rPr>
                                <w:b/>
                                <w:color w:val="000000" w:themeColor="text1"/>
                                <w:sz w:val="18"/>
                                <w:szCs w:val="18"/>
                              </w:rPr>
                              <w:t xml:space="preserve"> </w:t>
                            </w:r>
                            <w:r w:rsidR="004A560B" w:rsidRPr="004A560B">
                              <w:rPr>
                                <w:color w:val="000000" w:themeColor="text1"/>
                                <w:sz w:val="18"/>
                                <w:szCs w:val="18"/>
                              </w:rPr>
                              <w:t>fiber-optic lines</w:t>
                            </w:r>
                          </w:p>
                          <w:p w14:paraId="6C7CB2AC" w14:textId="3A44B67D" w:rsidR="004A560B" w:rsidRPr="004213E1" w:rsidRDefault="004A560B" w:rsidP="004213E1">
                            <w:pPr>
                              <w:spacing w:after="0" w:line="240" w:lineRule="auto"/>
                              <w:jc w:val="center"/>
                              <w:rPr>
                                <w:color w:val="000000" w:themeColor="text1"/>
                                <w:sz w:val="18"/>
                                <w:szCs w:val="18"/>
                              </w:rPr>
                            </w:pPr>
                            <w:r w:rsidRPr="004213E1">
                              <w:rPr>
                                <w:b/>
                                <w:color w:val="000000" w:themeColor="text1"/>
                                <w:sz w:val="18"/>
                                <w:szCs w:val="18"/>
                              </w:rPr>
                              <w:t>$</w:t>
                            </w:r>
                            <w:r w:rsidR="00F6227C">
                              <w:rPr>
                                <w:b/>
                                <w:color w:val="000000" w:themeColor="text1"/>
                                <w:sz w:val="18"/>
                                <w:szCs w:val="18"/>
                              </w:rPr>
                              <w:t>12.</w:t>
                            </w:r>
                            <w:r w:rsidR="000D2103">
                              <w:rPr>
                                <w:b/>
                                <w:color w:val="000000" w:themeColor="text1"/>
                                <w:sz w:val="18"/>
                                <w:szCs w:val="18"/>
                              </w:rPr>
                              <w:t>1</w:t>
                            </w:r>
                            <w:r w:rsidR="00427F62" w:rsidRPr="004213E1">
                              <w:rPr>
                                <w:b/>
                                <w:color w:val="000000" w:themeColor="text1"/>
                                <w:sz w:val="18"/>
                                <w:szCs w:val="18"/>
                              </w:rPr>
                              <w:t xml:space="preserve"> </w:t>
                            </w:r>
                            <w:r w:rsidRPr="004213E1">
                              <w:rPr>
                                <w:b/>
                                <w:color w:val="000000" w:themeColor="text1"/>
                                <w:sz w:val="18"/>
                                <w:szCs w:val="18"/>
                              </w:rPr>
                              <w:t>million</w:t>
                            </w:r>
                            <w:r w:rsidR="00427F62">
                              <w:rPr>
                                <w:b/>
                                <w:color w:val="000000" w:themeColor="text1"/>
                                <w:sz w:val="18"/>
                                <w:szCs w:val="18"/>
                              </w:rPr>
                              <w:t xml:space="preserve"> </w:t>
                            </w:r>
                            <w:r w:rsidR="00427F62">
                              <w:rPr>
                                <w:color w:val="000000" w:themeColor="text1"/>
                                <w:sz w:val="18"/>
                                <w:szCs w:val="18"/>
                              </w:rPr>
                              <w:t xml:space="preserve">net book </w:t>
                            </w:r>
                            <w:r w:rsidR="004213E1">
                              <w:rPr>
                                <w:color w:val="000000" w:themeColor="text1"/>
                                <w:sz w:val="18"/>
                                <w:szCs w:val="18"/>
                              </w:rPr>
                              <w:t>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8B87C" id="Rounded Rectangle 12" o:spid="_x0000_s1027" style="position:absolute;left:0;text-align:left;margin-left:386.45pt;margin-top:9.35pt;width:141.65pt;height:8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" fillcolor="#8db3e2 [1311]" strokecolor="#c6d9f1 [671]" strokeweight="2pt">
                <v:textbox>
                  <w:txbxContent>
                    <w:p w14:paraId="4A5E3A26" w14:textId="77777777" w:rsidR="004A560B" w:rsidRDefault="004A560B" w:rsidP="004213E1">
                      <w:pPr>
                        <w:spacing w:after="0" w:line="240" w:lineRule="auto"/>
                        <w:jc w:val="center"/>
                        <w:rPr>
                          <w:color w:val="000000" w:themeColor="text1"/>
                          <w:sz w:val="18"/>
                          <w:szCs w:val="18"/>
                        </w:rPr>
                      </w:pPr>
                      <w:r w:rsidRPr="004A560B">
                        <w:rPr>
                          <w:color w:val="000000" w:themeColor="text1"/>
                          <w:sz w:val="18"/>
                          <w:szCs w:val="18"/>
                        </w:rPr>
                        <w:t>Benton PUD</w:t>
                      </w:r>
                      <w:r>
                        <w:rPr>
                          <w:color w:val="000000" w:themeColor="text1"/>
                          <w:sz w:val="18"/>
                          <w:szCs w:val="18"/>
                        </w:rPr>
                        <w:t xml:space="preserve"> </w:t>
                      </w:r>
                      <w:r w:rsidR="00427F62">
                        <w:rPr>
                          <w:color w:val="000000" w:themeColor="text1"/>
                          <w:sz w:val="18"/>
                          <w:szCs w:val="18"/>
                        </w:rPr>
                        <w:t xml:space="preserve">broadband </w:t>
                      </w:r>
                      <w:r>
                        <w:rPr>
                          <w:color w:val="000000" w:themeColor="text1"/>
                          <w:sz w:val="18"/>
                          <w:szCs w:val="18"/>
                        </w:rPr>
                        <w:t>assets:</w:t>
                      </w:r>
                    </w:p>
                    <w:p w14:paraId="1BE99EC5" w14:textId="7BE6B71D" w:rsidR="004213E1" w:rsidRDefault="00E81818" w:rsidP="004213E1">
                      <w:pPr>
                        <w:spacing w:after="0" w:line="240" w:lineRule="auto"/>
                        <w:jc w:val="center"/>
                        <w:rPr>
                          <w:color w:val="000000" w:themeColor="text1"/>
                          <w:sz w:val="18"/>
                          <w:szCs w:val="18"/>
                        </w:rPr>
                      </w:pPr>
                      <w:r>
                        <w:rPr>
                          <w:b/>
                          <w:color w:val="000000" w:themeColor="text1"/>
                          <w:sz w:val="18"/>
                          <w:szCs w:val="18"/>
                        </w:rPr>
                        <w:t>499</w:t>
                      </w:r>
                      <w:r w:rsidRPr="004213E1">
                        <w:rPr>
                          <w:b/>
                          <w:color w:val="000000" w:themeColor="text1"/>
                          <w:sz w:val="18"/>
                          <w:szCs w:val="18"/>
                        </w:rPr>
                        <w:t xml:space="preserve"> </w:t>
                      </w:r>
                      <w:r w:rsidR="004213E1" w:rsidRPr="004213E1">
                        <w:rPr>
                          <w:b/>
                          <w:color w:val="000000" w:themeColor="text1"/>
                          <w:sz w:val="18"/>
                          <w:szCs w:val="18"/>
                        </w:rPr>
                        <w:t>miles</w:t>
                      </w:r>
                      <w:r w:rsidR="00427F62">
                        <w:rPr>
                          <w:b/>
                          <w:color w:val="000000" w:themeColor="text1"/>
                          <w:sz w:val="18"/>
                          <w:szCs w:val="18"/>
                        </w:rPr>
                        <w:t xml:space="preserve"> </w:t>
                      </w:r>
                      <w:r w:rsidR="004A560B" w:rsidRPr="004A560B">
                        <w:rPr>
                          <w:color w:val="000000" w:themeColor="text1"/>
                          <w:sz w:val="18"/>
                          <w:szCs w:val="18"/>
                        </w:rPr>
                        <w:t>fiber-optic lines</w:t>
                      </w:r>
                    </w:p>
                    <w:p w14:paraId="6C7CB2AC" w14:textId="3A44B67D" w:rsidR="004A560B" w:rsidRPr="004213E1" w:rsidRDefault="004A560B" w:rsidP="004213E1">
                      <w:pPr>
                        <w:spacing w:after="0" w:line="240" w:lineRule="auto"/>
                        <w:jc w:val="center"/>
                        <w:rPr>
                          <w:color w:val="000000" w:themeColor="text1"/>
                          <w:sz w:val="18"/>
                          <w:szCs w:val="18"/>
                        </w:rPr>
                      </w:pPr>
                      <w:r w:rsidRPr="004213E1">
                        <w:rPr>
                          <w:b/>
                          <w:color w:val="000000" w:themeColor="text1"/>
                          <w:sz w:val="18"/>
                          <w:szCs w:val="18"/>
                        </w:rPr>
                        <w:t>$</w:t>
                      </w:r>
                      <w:r w:rsidR="00F6227C">
                        <w:rPr>
                          <w:b/>
                          <w:color w:val="000000" w:themeColor="text1"/>
                          <w:sz w:val="18"/>
                          <w:szCs w:val="18"/>
                        </w:rPr>
                        <w:t>12.</w:t>
                      </w:r>
                      <w:r w:rsidR="000D2103">
                        <w:rPr>
                          <w:b/>
                          <w:color w:val="000000" w:themeColor="text1"/>
                          <w:sz w:val="18"/>
                          <w:szCs w:val="18"/>
                        </w:rPr>
                        <w:t>1</w:t>
                      </w:r>
                      <w:r w:rsidR="00427F62" w:rsidRPr="004213E1">
                        <w:rPr>
                          <w:b/>
                          <w:color w:val="000000" w:themeColor="text1"/>
                          <w:sz w:val="18"/>
                          <w:szCs w:val="18"/>
                        </w:rPr>
                        <w:t xml:space="preserve"> </w:t>
                      </w:r>
                      <w:r w:rsidRPr="004213E1">
                        <w:rPr>
                          <w:b/>
                          <w:color w:val="000000" w:themeColor="text1"/>
                          <w:sz w:val="18"/>
                          <w:szCs w:val="18"/>
                        </w:rPr>
                        <w:t>million</w:t>
                      </w:r>
                      <w:r w:rsidR="00427F62">
                        <w:rPr>
                          <w:b/>
                          <w:color w:val="000000" w:themeColor="text1"/>
                          <w:sz w:val="18"/>
                          <w:szCs w:val="18"/>
                        </w:rPr>
                        <w:t xml:space="preserve"> </w:t>
                      </w:r>
                      <w:r w:rsidR="00427F62">
                        <w:rPr>
                          <w:color w:val="000000" w:themeColor="text1"/>
                          <w:sz w:val="18"/>
                          <w:szCs w:val="18"/>
                        </w:rPr>
                        <w:t xml:space="preserve">net book </w:t>
                      </w:r>
                      <w:r w:rsidR="004213E1">
                        <w:rPr>
                          <w:color w:val="000000" w:themeColor="text1"/>
                          <w:sz w:val="18"/>
                          <w:szCs w:val="18"/>
                        </w:rPr>
                        <w:t>value</w:t>
                      </w:r>
                    </w:p>
                  </w:txbxContent>
                </v:textbox>
              </v:roundrect>
            </w:pict>
          </mc:Fallback>
        </mc:AlternateContent>
      </w:r>
      <w:r w:rsidR="00FA2C07" w:rsidRPr="00FA2C07">
        <w:t xml:space="preserve">Benton PUD accounts for its financial activities within a single proprietary fund titled the Electric System. The Electric System is used to account for the </w:t>
      </w:r>
      <w:r w:rsidR="00347061">
        <w:t xml:space="preserve">sale, </w:t>
      </w:r>
      <w:r w:rsidR="00FA2C07" w:rsidRPr="00FA2C07">
        <w:t>purchase, generation, transmission,</w:t>
      </w:r>
      <w:r w:rsidR="00347061">
        <w:t xml:space="preserve"> and</w:t>
      </w:r>
      <w:r w:rsidR="00FA2C07" w:rsidRPr="00FA2C07">
        <w:t xml:space="preserve"> distribution of electric energy, as well as the </w:t>
      </w:r>
      <w:r w:rsidR="00347061">
        <w:t xml:space="preserve">revenues </w:t>
      </w:r>
      <w:r w:rsidR="00FA2C07">
        <w:t xml:space="preserve">and </w:t>
      </w:r>
      <w:r w:rsidR="00347061">
        <w:t>expenditures</w:t>
      </w:r>
      <w:r w:rsidR="00347061" w:rsidRPr="00FA2C07">
        <w:t xml:space="preserve"> </w:t>
      </w:r>
      <w:r w:rsidR="00FA2C07" w:rsidRPr="00FA2C07">
        <w:t>of wholesale telecommunication (broadband) services. As such</w:t>
      </w:r>
      <w:r w:rsidR="00E50AE1" w:rsidRPr="00FA2C07">
        <w:t>, our</w:t>
      </w:r>
      <w:r w:rsidR="00FA2C07" w:rsidRPr="00FA2C07">
        <w:t xml:space="preserve"> broadband network assets reside in the Electric Fund along with other </w:t>
      </w:r>
      <w:r w:rsidR="00E50AE1">
        <w:t xml:space="preserve">electric system </w:t>
      </w:r>
      <w:r w:rsidR="00FA2C07" w:rsidRPr="00FA2C07">
        <w:t xml:space="preserve">assets such as poles, wires, and substations.  </w:t>
      </w:r>
    </w:p>
    <w:p w14:paraId="1D4B820D" w14:textId="48629194" w:rsidR="00E50AE1" w:rsidRDefault="00240323" w:rsidP="00C23181">
      <w:pPr>
        <w:jc w:val="both"/>
      </w:pPr>
      <w:r>
        <w:t xml:space="preserve">Benton PUD reports each month on broadband activities. </w:t>
      </w:r>
      <w:r w:rsidR="00767638">
        <w:t>Since inception</w:t>
      </w:r>
      <w:r w:rsidR="002E1FEC">
        <w:t xml:space="preserve"> in 2001</w:t>
      </w:r>
      <w:r w:rsidR="00767638">
        <w:t xml:space="preserve">, the net cash funding </w:t>
      </w:r>
      <w:r w:rsidR="002E1FEC">
        <w:t xml:space="preserve">of broadband </w:t>
      </w:r>
      <w:r w:rsidR="00767638">
        <w:t>through electric rates is $</w:t>
      </w:r>
      <w:r w:rsidR="004530EB">
        <w:t>4.8</w:t>
      </w:r>
      <w:r w:rsidR="0053183D">
        <w:t xml:space="preserve"> </w:t>
      </w:r>
      <w:r w:rsidR="00767638">
        <w:t>million</w:t>
      </w:r>
      <w:r w:rsidR="007473A6">
        <w:t>, not including $3.</w:t>
      </w:r>
      <w:r w:rsidR="00EE6F87">
        <w:t>3</w:t>
      </w:r>
      <w:r w:rsidR="007473A6">
        <w:t xml:space="preserve"> million in </w:t>
      </w:r>
      <w:proofErr w:type="spellStart"/>
      <w:r w:rsidR="00535135">
        <w:t>NoaNet</w:t>
      </w:r>
      <w:proofErr w:type="spellEnd"/>
      <w:r w:rsidR="00535135">
        <w:t xml:space="preserve"> costs</w:t>
      </w:r>
      <w:r w:rsidR="007473A6">
        <w:t xml:space="preserve"> to the </w:t>
      </w:r>
      <w:proofErr w:type="gramStart"/>
      <w:r w:rsidR="007473A6">
        <w:t>District</w:t>
      </w:r>
      <w:proofErr w:type="gramEnd"/>
      <w:r w:rsidR="00767638">
        <w:t xml:space="preserve">.  Over </w:t>
      </w:r>
      <w:r>
        <w:t xml:space="preserve">the past </w:t>
      </w:r>
      <w:r w:rsidR="009F13BA">
        <w:t xml:space="preserve">ten </w:t>
      </w:r>
      <w:r>
        <w:t>years, broadband has generated $</w:t>
      </w:r>
      <w:r w:rsidR="0038617D">
        <w:t>4.6</w:t>
      </w:r>
      <w:r w:rsidR="000D2103">
        <w:t xml:space="preserve"> </w:t>
      </w:r>
      <w:r>
        <w:t>million in positive cash flow</w:t>
      </w:r>
      <w:r w:rsidR="00767638">
        <w:t xml:space="preserve"> – in other words, revenues have exceeded both capital and operation expe</w:t>
      </w:r>
      <w:r w:rsidR="00427F62">
        <w:t>n</w:t>
      </w:r>
      <w:r w:rsidR="00767638">
        <w:t>ditures</w:t>
      </w:r>
      <w:r>
        <w:t xml:space="preserve">.  </w:t>
      </w:r>
    </w:p>
    <w:p w14:paraId="74C8FDDE" w14:textId="23F82280" w:rsidR="00FA2C07" w:rsidRDefault="00767638" w:rsidP="00C23181">
      <w:pPr>
        <w:jc w:val="both"/>
      </w:pPr>
      <w:r>
        <w:t>The net book value of broadband assets owned directly by Benton PUD is about $</w:t>
      </w:r>
      <w:r w:rsidR="00F6227C">
        <w:t>12.</w:t>
      </w:r>
      <w:r w:rsidR="000D2103">
        <w:t>1</w:t>
      </w:r>
      <w:r>
        <w:t xml:space="preserve"> million</w:t>
      </w:r>
      <w:r w:rsidR="004074B7">
        <w:t>.</w:t>
      </w:r>
      <w:r w:rsidDel="00767638">
        <w:t xml:space="preserve"> </w:t>
      </w:r>
      <w:r w:rsidR="00960EE2">
        <w:t>The gross value of these assets is $</w:t>
      </w:r>
      <w:r w:rsidR="00F36390">
        <w:t>2</w:t>
      </w:r>
      <w:r w:rsidR="000D2103">
        <w:t>6</w:t>
      </w:r>
      <w:r w:rsidR="00F36390">
        <w:t>.</w:t>
      </w:r>
      <w:r w:rsidR="000D2103">
        <w:t>3</w:t>
      </w:r>
      <w:r w:rsidR="00960EE2">
        <w:t xml:space="preserve"> million, of which, $</w:t>
      </w:r>
      <w:r w:rsidR="004530EB">
        <w:t>7.7</w:t>
      </w:r>
      <w:r w:rsidR="00347061">
        <w:t xml:space="preserve"> </w:t>
      </w:r>
      <w:r w:rsidR="00960EE2">
        <w:t>million was funded through partnerships grants.</w:t>
      </w:r>
    </w:p>
    <w:p w14:paraId="5DC022FC" w14:textId="05ED8E06" w:rsidR="002E1FEC" w:rsidRDefault="00767638" w:rsidP="00C23181">
      <w:pPr>
        <w:jc w:val="both"/>
      </w:pPr>
      <w:r>
        <w:t xml:space="preserve">In addition to the broadband assets directly owned by </w:t>
      </w:r>
      <w:r w:rsidR="005D67BC">
        <w:t>Benton PUD</w:t>
      </w:r>
      <w:r>
        <w:t xml:space="preserve">, Benton PUD has </w:t>
      </w:r>
      <w:r w:rsidR="00427F62">
        <w:t>a 20.72</w:t>
      </w:r>
      <w:r w:rsidR="005D67BC">
        <w:t xml:space="preserve">% </w:t>
      </w:r>
      <w:r>
        <w:t xml:space="preserve">ownership share </w:t>
      </w:r>
      <w:r w:rsidR="005D67BC">
        <w:t xml:space="preserve">of </w:t>
      </w:r>
      <w:proofErr w:type="spellStart"/>
      <w:r w:rsidR="005D67BC">
        <w:t>NoaNet</w:t>
      </w:r>
      <w:proofErr w:type="spellEnd"/>
      <w:r w:rsidR="005D67BC">
        <w:t xml:space="preserve">, which has </w:t>
      </w:r>
      <w:r w:rsidR="00F37EA6">
        <w:t xml:space="preserve">about </w:t>
      </w:r>
      <w:r w:rsidR="00453CEF">
        <w:t>$</w:t>
      </w:r>
      <w:r w:rsidR="004431A1">
        <w:t xml:space="preserve">68 </w:t>
      </w:r>
      <w:r w:rsidR="00453CEF">
        <w:t xml:space="preserve">million </w:t>
      </w:r>
      <w:r w:rsidR="00C0320E">
        <w:t>in</w:t>
      </w:r>
      <w:r w:rsidR="00453CEF">
        <w:t xml:space="preserve"> </w:t>
      </w:r>
      <w:r w:rsidR="00013BB4">
        <w:t xml:space="preserve">assets </w:t>
      </w:r>
      <w:r w:rsidR="00453CEF">
        <w:t>(</w:t>
      </w:r>
      <w:r w:rsidR="005D4FEE">
        <w:t>net book value</w:t>
      </w:r>
      <w:r w:rsidR="00453CEF">
        <w:t>).</w:t>
      </w:r>
      <w:r w:rsidR="00013BB4">
        <w:t xml:space="preserve">   </w:t>
      </w:r>
    </w:p>
    <w:p w14:paraId="2F0B08C5" w14:textId="23199410" w:rsidR="005D67BC" w:rsidRDefault="005D67BC" w:rsidP="00C23181">
      <w:pPr>
        <w:jc w:val="both"/>
      </w:pPr>
      <w:r>
        <w:t xml:space="preserve">The following table shows broadband financial information for </w:t>
      </w:r>
      <w:r w:rsidR="00FE5B31">
        <w:t xml:space="preserve">inception to date, </w:t>
      </w:r>
      <w:r w:rsidR="00835550">
        <w:t xml:space="preserve">most recent </w:t>
      </w:r>
      <w:r w:rsidR="009F13BA">
        <w:t>ten</w:t>
      </w:r>
      <w:r w:rsidR="00835550">
        <w:t xml:space="preserve"> years, and last year. </w:t>
      </w:r>
    </w:p>
    <w:tbl>
      <w:tblPr>
        <w:tblStyle w:val="MediumGrid3-Accent1"/>
        <w:tblW w:w="0" w:type="auto"/>
        <w:tblLook w:val="04A0" w:firstRow="1" w:lastRow="0" w:firstColumn="1" w:lastColumn="0" w:noHBand="0" w:noVBand="1"/>
      </w:tblPr>
      <w:tblGrid>
        <w:gridCol w:w="2770"/>
        <w:gridCol w:w="1847"/>
        <w:gridCol w:w="1403"/>
        <w:gridCol w:w="1160"/>
      </w:tblGrid>
      <w:tr w:rsidR="00AE5781" w14:paraId="5F0E364F" w14:textId="77777777" w:rsidTr="002D0E3C">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808" w:type="dxa"/>
          </w:tcPr>
          <w:p w14:paraId="4FC1D73D" w14:textId="77777777" w:rsidR="00AE5781" w:rsidRDefault="00AE5781" w:rsidP="00C23181">
            <w:pPr>
              <w:jc w:val="both"/>
            </w:pPr>
            <w:r>
              <w:t>(</w:t>
            </w:r>
            <w:proofErr w:type="gramStart"/>
            <w:r>
              <w:t>in</w:t>
            </w:r>
            <w:proofErr w:type="gramEnd"/>
            <w:r>
              <w:t xml:space="preserve"> millions)</w:t>
            </w:r>
          </w:p>
        </w:tc>
        <w:tc>
          <w:tcPr>
            <w:tcW w:w="1890" w:type="dxa"/>
          </w:tcPr>
          <w:p w14:paraId="5A6B1793" w14:textId="77777777" w:rsidR="00AE5781" w:rsidRDefault="00AE5781" w:rsidP="0019503F">
            <w:pPr>
              <w:jc w:val="center"/>
              <w:cnfStyle w:val="100000000000" w:firstRow="1" w:lastRow="0" w:firstColumn="0" w:lastColumn="0" w:oddVBand="0" w:evenVBand="0" w:oddHBand="0" w:evenHBand="0" w:firstRowFirstColumn="0" w:firstRowLastColumn="0" w:lastRowFirstColumn="0" w:lastRowLastColumn="0"/>
            </w:pPr>
            <w:r>
              <w:t>Inception to Date</w:t>
            </w:r>
          </w:p>
          <w:p w14:paraId="59744921" w14:textId="21244475" w:rsidR="00835550" w:rsidRDefault="00835550" w:rsidP="007147D6">
            <w:pPr>
              <w:jc w:val="center"/>
              <w:cnfStyle w:val="100000000000" w:firstRow="1" w:lastRow="0" w:firstColumn="0" w:lastColumn="0" w:oddVBand="0" w:evenVBand="0" w:oddHBand="0" w:evenHBand="0" w:firstRowFirstColumn="0" w:firstRowLastColumn="0" w:lastRowFirstColumn="0" w:lastRowLastColumn="0"/>
            </w:pPr>
            <w:r>
              <w:t xml:space="preserve">2001 - </w:t>
            </w:r>
            <w:r w:rsidR="00F36390">
              <w:t>202</w:t>
            </w:r>
            <w:r w:rsidR="000D2103">
              <w:t>1</w:t>
            </w:r>
          </w:p>
        </w:tc>
        <w:tc>
          <w:tcPr>
            <w:tcW w:w="1440" w:type="dxa"/>
          </w:tcPr>
          <w:p w14:paraId="5D2651F3" w14:textId="2149C0C4" w:rsidR="00835550" w:rsidRDefault="00835550" w:rsidP="0019503F">
            <w:pPr>
              <w:jc w:val="center"/>
              <w:cnfStyle w:val="100000000000" w:firstRow="1" w:lastRow="0" w:firstColumn="0" w:lastColumn="0" w:oddVBand="0" w:evenVBand="0" w:oddHBand="0" w:evenHBand="0" w:firstRowFirstColumn="0" w:firstRowLastColumn="0" w:lastRowFirstColumn="0" w:lastRowLastColumn="0"/>
            </w:pPr>
            <w:r>
              <w:t xml:space="preserve">Last </w:t>
            </w:r>
            <w:r w:rsidR="009F13BA">
              <w:t>10</w:t>
            </w:r>
            <w:r w:rsidR="0018564A">
              <w:t xml:space="preserve"> </w:t>
            </w:r>
            <w:r>
              <w:t>Years</w:t>
            </w:r>
          </w:p>
          <w:p w14:paraId="2222C4C0" w14:textId="65CFC5C3" w:rsidR="00AE5781" w:rsidRDefault="00AE5781" w:rsidP="00A45C01">
            <w:pPr>
              <w:jc w:val="center"/>
              <w:cnfStyle w:val="100000000000" w:firstRow="1" w:lastRow="0" w:firstColumn="0" w:lastColumn="0" w:oddVBand="0" w:evenVBand="0" w:oddHBand="0" w:evenHBand="0" w:firstRowFirstColumn="0" w:firstRowLastColumn="0" w:lastRowFirstColumn="0" w:lastRowLastColumn="0"/>
            </w:pPr>
            <w:r>
              <w:t>201</w:t>
            </w:r>
            <w:r w:rsidR="000D2103">
              <w:t>2</w:t>
            </w:r>
            <w:r>
              <w:t xml:space="preserve"> – </w:t>
            </w:r>
            <w:r w:rsidR="000D2103">
              <w:t>2021</w:t>
            </w:r>
          </w:p>
        </w:tc>
        <w:tc>
          <w:tcPr>
            <w:tcW w:w="1188" w:type="dxa"/>
          </w:tcPr>
          <w:p w14:paraId="2AE2BBB0" w14:textId="77777777" w:rsidR="00AE5781" w:rsidRDefault="00835550" w:rsidP="0019503F">
            <w:pPr>
              <w:jc w:val="center"/>
              <w:cnfStyle w:val="100000000000" w:firstRow="1" w:lastRow="0" w:firstColumn="0" w:lastColumn="0" w:oddVBand="0" w:evenVBand="0" w:oddHBand="0" w:evenHBand="0" w:firstRowFirstColumn="0" w:firstRowLastColumn="0" w:lastRowFirstColumn="0" w:lastRowLastColumn="0"/>
            </w:pPr>
            <w:r>
              <w:t>Last Year</w:t>
            </w:r>
          </w:p>
          <w:p w14:paraId="574722C8" w14:textId="09A24562" w:rsidR="00835550" w:rsidRDefault="00F36390" w:rsidP="007147D6">
            <w:pPr>
              <w:jc w:val="center"/>
              <w:cnfStyle w:val="100000000000" w:firstRow="1" w:lastRow="0" w:firstColumn="0" w:lastColumn="0" w:oddVBand="0" w:evenVBand="0" w:oddHBand="0" w:evenHBand="0" w:firstRowFirstColumn="0" w:firstRowLastColumn="0" w:lastRowFirstColumn="0" w:lastRowLastColumn="0"/>
            </w:pPr>
            <w:r>
              <w:t>202</w:t>
            </w:r>
            <w:r w:rsidR="000D2103">
              <w:t>1</w:t>
            </w:r>
          </w:p>
        </w:tc>
      </w:tr>
      <w:tr w:rsidR="00AE5781" w14:paraId="4FCEA752" w14:textId="77777777" w:rsidTr="002D0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3F4664DE" w14:textId="77777777" w:rsidR="00AE5781" w:rsidRDefault="00AE5781" w:rsidP="00C23181">
            <w:pPr>
              <w:jc w:val="both"/>
            </w:pPr>
            <w:r>
              <w:t>Revenues</w:t>
            </w:r>
          </w:p>
        </w:tc>
        <w:tc>
          <w:tcPr>
            <w:tcW w:w="1890" w:type="dxa"/>
          </w:tcPr>
          <w:p w14:paraId="0A986F45" w14:textId="1D862AEE" w:rsidR="00AE5781" w:rsidRDefault="0019503F" w:rsidP="007147D6">
            <w:pPr>
              <w:jc w:val="center"/>
              <w:cnfStyle w:val="000000100000" w:firstRow="0" w:lastRow="0" w:firstColumn="0" w:lastColumn="0" w:oddVBand="0" w:evenVBand="0" w:oddHBand="1" w:evenHBand="0" w:firstRowFirstColumn="0" w:firstRowLastColumn="0" w:lastRowFirstColumn="0" w:lastRowLastColumn="0"/>
            </w:pPr>
            <w:r>
              <w:t>$</w:t>
            </w:r>
            <w:r w:rsidR="004530EB">
              <w:t>28.8</w:t>
            </w:r>
          </w:p>
        </w:tc>
        <w:tc>
          <w:tcPr>
            <w:tcW w:w="1440" w:type="dxa"/>
          </w:tcPr>
          <w:p w14:paraId="14F15CA5" w14:textId="5D33F00B" w:rsidR="00AE5781" w:rsidRDefault="0019503F" w:rsidP="00F06317">
            <w:pPr>
              <w:jc w:val="center"/>
              <w:cnfStyle w:val="000000100000" w:firstRow="0" w:lastRow="0" w:firstColumn="0" w:lastColumn="0" w:oddVBand="0" w:evenVBand="0" w:oddHBand="1" w:evenHBand="0" w:firstRowFirstColumn="0" w:firstRowLastColumn="0" w:lastRowFirstColumn="0" w:lastRowLastColumn="0"/>
            </w:pPr>
            <w:r>
              <w:t>$</w:t>
            </w:r>
            <w:r w:rsidR="004530EB">
              <w:t>22.5</w:t>
            </w:r>
          </w:p>
        </w:tc>
        <w:tc>
          <w:tcPr>
            <w:tcW w:w="1188" w:type="dxa"/>
          </w:tcPr>
          <w:p w14:paraId="0A7BF0B9" w14:textId="06B613C2" w:rsidR="00AE5781" w:rsidRDefault="0019503F" w:rsidP="007147D6">
            <w:pPr>
              <w:jc w:val="center"/>
              <w:cnfStyle w:val="000000100000" w:firstRow="0" w:lastRow="0" w:firstColumn="0" w:lastColumn="0" w:oddVBand="0" w:evenVBand="0" w:oddHBand="1" w:evenHBand="0" w:firstRowFirstColumn="0" w:firstRowLastColumn="0" w:lastRowFirstColumn="0" w:lastRowLastColumn="0"/>
            </w:pPr>
            <w:r>
              <w:t>$</w:t>
            </w:r>
            <w:r w:rsidR="004530EB">
              <w:t>2.9</w:t>
            </w:r>
          </w:p>
        </w:tc>
      </w:tr>
      <w:tr w:rsidR="00AE5781" w14:paraId="115EA3CF" w14:textId="77777777" w:rsidTr="002D0E3C">
        <w:tc>
          <w:tcPr>
            <w:cnfStyle w:val="001000000000" w:firstRow="0" w:lastRow="0" w:firstColumn="1" w:lastColumn="0" w:oddVBand="0" w:evenVBand="0" w:oddHBand="0" w:evenHBand="0" w:firstRowFirstColumn="0" w:firstRowLastColumn="0" w:lastRowFirstColumn="0" w:lastRowLastColumn="0"/>
            <w:tcW w:w="2808" w:type="dxa"/>
          </w:tcPr>
          <w:p w14:paraId="45F5E4E2" w14:textId="2DD7B3D9" w:rsidR="00AE5781" w:rsidRDefault="0019503F" w:rsidP="00C23181">
            <w:pPr>
              <w:jc w:val="both"/>
            </w:pPr>
            <w:r>
              <w:t>Expenses</w:t>
            </w:r>
          </w:p>
        </w:tc>
        <w:tc>
          <w:tcPr>
            <w:tcW w:w="1890" w:type="dxa"/>
          </w:tcPr>
          <w:p w14:paraId="055A81C1" w14:textId="3BE23E40" w:rsidR="00AE5781" w:rsidRDefault="0019503F" w:rsidP="00E458E7">
            <w:pPr>
              <w:jc w:val="center"/>
              <w:cnfStyle w:val="000000000000" w:firstRow="0" w:lastRow="0" w:firstColumn="0" w:lastColumn="0" w:oddVBand="0" w:evenVBand="0" w:oddHBand="0" w:evenHBand="0" w:firstRowFirstColumn="0" w:firstRowLastColumn="0" w:lastRowFirstColumn="0" w:lastRowLastColumn="0"/>
            </w:pPr>
            <w:r>
              <w:t>(</w:t>
            </w:r>
            <w:r w:rsidR="004530EB">
              <w:t>1</w:t>
            </w:r>
            <w:r w:rsidR="00BB3B30">
              <w:t>5</w:t>
            </w:r>
            <w:r w:rsidR="004530EB">
              <w:t>.</w:t>
            </w:r>
            <w:r w:rsidR="00FC69E8">
              <w:t>0</w:t>
            </w:r>
            <w:r>
              <w:t>)</w:t>
            </w:r>
          </w:p>
        </w:tc>
        <w:tc>
          <w:tcPr>
            <w:tcW w:w="1440" w:type="dxa"/>
          </w:tcPr>
          <w:p w14:paraId="7C307FCF" w14:textId="14B6A6EB" w:rsidR="00AE5781" w:rsidRDefault="0019503F" w:rsidP="00F06317">
            <w:pPr>
              <w:jc w:val="center"/>
              <w:cnfStyle w:val="000000000000" w:firstRow="0" w:lastRow="0" w:firstColumn="0" w:lastColumn="0" w:oddVBand="0" w:evenVBand="0" w:oddHBand="0" w:evenHBand="0" w:firstRowFirstColumn="0" w:firstRowLastColumn="0" w:lastRowFirstColumn="0" w:lastRowLastColumn="0"/>
            </w:pPr>
            <w:r>
              <w:t>(</w:t>
            </w:r>
            <w:r w:rsidR="009F13BA">
              <w:t>9.</w:t>
            </w:r>
            <w:r w:rsidR="00FC69E8">
              <w:t>7</w:t>
            </w:r>
            <w:r>
              <w:t>)</w:t>
            </w:r>
          </w:p>
        </w:tc>
        <w:tc>
          <w:tcPr>
            <w:tcW w:w="1188" w:type="dxa"/>
          </w:tcPr>
          <w:p w14:paraId="6BA418F7" w14:textId="1220BD71" w:rsidR="00AE5781" w:rsidRDefault="0019503F" w:rsidP="007147D6">
            <w:pPr>
              <w:jc w:val="center"/>
              <w:cnfStyle w:val="000000000000" w:firstRow="0" w:lastRow="0" w:firstColumn="0" w:lastColumn="0" w:oddVBand="0" w:evenVBand="0" w:oddHBand="0" w:evenHBand="0" w:firstRowFirstColumn="0" w:firstRowLastColumn="0" w:lastRowFirstColumn="0" w:lastRowLastColumn="0"/>
            </w:pPr>
            <w:r>
              <w:t>(</w:t>
            </w:r>
            <w:r w:rsidR="00DB4E25">
              <w:t>1</w:t>
            </w:r>
            <w:r w:rsidR="00212AFA">
              <w:t>.</w:t>
            </w:r>
            <w:r w:rsidR="004530EB">
              <w:t>1</w:t>
            </w:r>
            <w:r>
              <w:t>)</w:t>
            </w:r>
          </w:p>
        </w:tc>
      </w:tr>
      <w:tr w:rsidR="00AE5781" w14:paraId="25769DA6" w14:textId="77777777" w:rsidTr="000B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529477CC" w14:textId="189B80BB" w:rsidR="00AE5781" w:rsidRDefault="0019503F" w:rsidP="00C23181">
            <w:pPr>
              <w:jc w:val="both"/>
            </w:pPr>
            <w:r>
              <w:t>Capital Investment</w:t>
            </w:r>
          </w:p>
        </w:tc>
        <w:tc>
          <w:tcPr>
            <w:tcW w:w="1890" w:type="dxa"/>
          </w:tcPr>
          <w:p w14:paraId="24C4A9A6" w14:textId="3F1C9B7E" w:rsidR="00AE5781" w:rsidRDefault="0019503F" w:rsidP="007147D6">
            <w:pPr>
              <w:jc w:val="center"/>
              <w:cnfStyle w:val="000000100000" w:firstRow="0" w:lastRow="0" w:firstColumn="0" w:lastColumn="0" w:oddVBand="0" w:evenVBand="0" w:oddHBand="1" w:evenHBand="0" w:firstRowFirstColumn="0" w:firstRowLastColumn="0" w:lastRowFirstColumn="0" w:lastRowLastColumn="0"/>
            </w:pPr>
            <w:r>
              <w:t>(</w:t>
            </w:r>
            <w:r w:rsidR="004530EB">
              <w:t>26.3</w:t>
            </w:r>
            <w:r>
              <w:t>)</w:t>
            </w:r>
          </w:p>
        </w:tc>
        <w:tc>
          <w:tcPr>
            <w:tcW w:w="1440" w:type="dxa"/>
          </w:tcPr>
          <w:p w14:paraId="27AD054C" w14:textId="221FB3B7" w:rsidR="00AE5781" w:rsidRDefault="0019503F" w:rsidP="00F06317">
            <w:pPr>
              <w:jc w:val="center"/>
              <w:cnfStyle w:val="000000100000" w:firstRow="0" w:lastRow="0" w:firstColumn="0" w:lastColumn="0" w:oddVBand="0" w:evenVBand="0" w:oddHBand="1" w:evenHBand="0" w:firstRowFirstColumn="0" w:firstRowLastColumn="0" w:lastRowFirstColumn="0" w:lastRowLastColumn="0"/>
            </w:pPr>
            <w:r>
              <w:t>(</w:t>
            </w:r>
            <w:r w:rsidR="009F13BA">
              <w:t>12.</w:t>
            </w:r>
            <w:r w:rsidR="004530EB">
              <w:t>8</w:t>
            </w:r>
            <w:r>
              <w:t>)</w:t>
            </w:r>
          </w:p>
        </w:tc>
        <w:tc>
          <w:tcPr>
            <w:tcW w:w="1188" w:type="dxa"/>
          </w:tcPr>
          <w:p w14:paraId="33B0ECBB" w14:textId="0D1041DD" w:rsidR="00AE5781" w:rsidRDefault="0019503F" w:rsidP="007147D6">
            <w:pPr>
              <w:jc w:val="center"/>
              <w:cnfStyle w:val="000000100000" w:firstRow="0" w:lastRow="0" w:firstColumn="0" w:lastColumn="0" w:oddVBand="0" w:evenVBand="0" w:oddHBand="1" w:evenHBand="0" w:firstRowFirstColumn="0" w:firstRowLastColumn="0" w:lastRowFirstColumn="0" w:lastRowLastColumn="0"/>
            </w:pPr>
            <w:r>
              <w:t>(</w:t>
            </w:r>
            <w:r w:rsidR="001E6772">
              <w:t>1.</w:t>
            </w:r>
            <w:r w:rsidR="004530EB">
              <w:t>1</w:t>
            </w:r>
            <w:r>
              <w:t>)</w:t>
            </w:r>
          </w:p>
        </w:tc>
      </w:tr>
      <w:tr w:rsidR="00AE5781" w14:paraId="5F201BF8" w14:textId="77777777" w:rsidTr="000B0C4D">
        <w:tc>
          <w:tcPr>
            <w:cnfStyle w:val="001000000000" w:firstRow="0" w:lastRow="0" w:firstColumn="1" w:lastColumn="0" w:oddVBand="0" w:evenVBand="0" w:oddHBand="0" w:evenHBand="0" w:firstRowFirstColumn="0" w:firstRowLastColumn="0" w:lastRowFirstColumn="0" w:lastRowLastColumn="0"/>
            <w:tcW w:w="2808" w:type="dxa"/>
          </w:tcPr>
          <w:p w14:paraId="528AA95E" w14:textId="479B54F0" w:rsidR="00AE5781" w:rsidRDefault="0019503F" w:rsidP="00C23181">
            <w:pPr>
              <w:jc w:val="both"/>
            </w:pPr>
            <w:r>
              <w:t>Partnerships/Grants</w:t>
            </w:r>
          </w:p>
        </w:tc>
        <w:tc>
          <w:tcPr>
            <w:tcW w:w="1890" w:type="dxa"/>
          </w:tcPr>
          <w:p w14:paraId="2C90609A" w14:textId="7B3E071E" w:rsidR="00AE5781" w:rsidRDefault="004530EB" w:rsidP="0019503F">
            <w:pPr>
              <w:jc w:val="center"/>
              <w:cnfStyle w:val="000000000000" w:firstRow="0" w:lastRow="0" w:firstColumn="0" w:lastColumn="0" w:oddVBand="0" w:evenVBand="0" w:oddHBand="0" w:evenHBand="0" w:firstRowFirstColumn="0" w:firstRowLastColumn="0" w:lastRowFirstColumn="0" w:lastRowLastColumn="0"/>
            </w:pPr>
            <w:r>
              <w:t>7.7</w:t>
            </w:r>
          </w:p>
        </w:tc>
        <w:tc>
          <w:tcPr>
            <w:tcW w:w="1440" w:type="dxa"/>
          </w:tcPr>
          <w:p w14:paraId="39D6CB8A" w14:textId="6388372A" w:rsidR="00AE5781" w:rsidRDefault="009F13BA" w:rsidP="00F06317">
            <w:pPr>
              <w:jc w:val="center"/>
              <w:cnfStyle w:val="000000000000" w:firstRow="0" w:lastRow="0" w:firstColumn="0" w:lastColumn="0" w:oddVBand="0" w:evenVBand="0" w:oddHBand="0" w:evenHBand="0" w:firstRowFirstColumn="0" w:firstRowLastColumn="0" w:lastRowFirstColumn="0" w:lastRowLastColumn="0"/>
            </w:pPr>
            <w:r>
              <w:t>4.</w:t>
            </w:r>
            <w:r w:rsidR="004530EB">
              <w:t>6</w:t>
            </w:r>
          </w:p>
        </w:tc>
        <w:tc>
          <w:tcPr>
            <w:tcW w:w="1188" w:type="dxa"/>
          </w:tcPr>
          <w:p w14:paraId="004B2D93" w14:textId="7C0B4214" w:rsidR="00AE5781" w:rsidRDefault="0019503F" w:rsidP="007147D6">
            <w:pPr>
              <w:jc w:val="center"/>
              <w:cnfStyle w:val="000000000000" w:firstRow="0" w:lastRow="0" w:firstColumn="0" w:lastColumn="0" w:oddVBand="0" w:evenVBand="0" w:oddHBand="0" w:evenHBand="0" w:firstRowFirstColumn="0" w:firstRowLastColumn="0" w:lastRowFirstColumn="0" w:lastRowLastColumn="0"/>
            </w:pPr>
            <w:r>
              <w:t>0.</w:t>
            </w:r>
            <w:r w:rsidR="004530EB">
              <w:t>2</w:t>
            </w:r>
          </w:p>
        </w:tc>
      </w:tr>
      <w:tr w:rsidR="00AE5781" w14:paraId="133F42E6" w14:textId="77777777" w:rsidTr="000B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6DDDE271" w14:textId="77777777" w:rsidR="00AE5781" w:rsidRPr="004074B7" w:rsidRDefault="0019503F" w:rsidP="00C23181">
            <w:pPr>
              <w:jc w:val="both"/>
              <w:rPr>
                <w:i/>
              </w:rPr>
            </w:pPr>
            <w:r w:rsidRPr="004074B7">
              <w:rPr>
                <w:i/>
              </w:rPr>
              <w:t>Net Cash Flow</w:t>
            </w:r>
          </w:p>
        </w:tc>
        <w:tc>
          <w:tcPr>
            <w:tcW w:w="1890" w:type="dxa"/>
          </w:tcPr>
          <w:p w14:paraId="7445001C" w14:textId="5F8783FC" w:rsidR="00AE5781" w:rsidRPr="004074B7" w:rsidRDefault="0019503F" w:rsidP="00E458E7">
            <w:pPr>
              <w:jc w:val="center"/>
              <w:cnfStyle w:val="000000100000" w:firstRow="0" w:lastRow="0" w:firstColumn="0" w:lastColumn="0" w:oddVBand="0" w:evenVBand="0" w:oddHBand="1" w:evenHBand="0" w:firstRowFirstColumn="0" w:firstRowLastColumn="0" w:lastRowFirstColumn="0" w:lastRowLastColumn="0"/>
              <w:rPr>
                <w:b/>
                <w:i/>
              </w:rPr>
            </w:pPr>
            <w:r w:rsidRPr="004074B7">
              <w:rPr>
                <w:b/>
                <w:i/>
              </w:rPr>
              <w:t>$(</w:t>
            </w:r>
            <w:r w:rsidR="00C27BEF">
              <w:rPr>
                <w:b/>
                <w:i/>
              </w:rPr>
              <w:t>4.</w:t>
            </w:r>
            <w:r w:rsidR="00BB3B30">
              <w:rPr>
                <w:b/>
                <w:i/>
              </w:rPr>
              <w:t>8</w:t>
            </w:r>
            <w:r w:rsidRPr="004074B7">
              <w:rPr>
                <w:b/>
                <w:i/>
              </w:rPr>
              <w:t>)</w:t>
            </w:r>
          </w:p>
        </w:tc>
        <w:tc>
          <w:tcPr>
            <w:tcW w:w="1440" w:type="dxa"/>
          </w:tcPr>
          <w:p w14:paraId="16222424" w14:textId="066D9341" w:rsidR="00AE5781" w:rsidRPr="004074B7" w:rsidRDefault="0019503F" w:rsidP="00F06317">
            <w:pPr>
              <w:jc w:val="center"/>
              <w:cnfStyle w:val="000000100000" w:firstRow="0" w:lastRow="0" w:firstColumn="0" w:lastColumn="0" w:oddVBand="0" w:evenVBand="0" w:oddHBand="1" w:evenHBand="0" w:firstRowFirstColumn="0" w:firstRowLastColumn="0" w:lastRowFirstColumn="0" w:lastRowLastColumn="0"/>
              <w:rPr>
                <w:b/>
                <w:i/>
              </w:rPr>
            </w:pPr>
            <w:r w:rsidRPr="004074B7">
              <w:rPr>
                <w:b/>
                <w:i/>
              </w:rPr>
              <w:t>$</w:t>
            </w:r>
            <w:r w:rsidR="009F13BA">
              <w:rPr>
                <w:b/>
                <w:i/>
              </w:rPr>
              <w:t>4.</w:t>
            </w:r>
            <w:r w:rsidR="004530EB">
              <w:rPr>
                <w:b/>
                <w:i/>
              </w:rPr>
              <w:t>6</w:t>
            </w:r>
          </w:p>
        </w:tc>
        <w:tc>
          <w:tcPr>
            <w:tcW w:w="1188" w:type="dxa"/>
          </w:tcPr>
          <w:p w14:paraId="36D13732" w14:textId="2CAEC077" w:rsidR="00AE5781" w:rsidRPr="004074B7" w:rsidRDefault="004074B7" w:rsidP="007147D6">
            <w:pPr>
              <w:jc w:val="center"/>
              <w:cnfStyle w:val="000000100000" w:firstRow="0" w:lastRow="0" w:firstColumn="0" w:lastColumn="0" w:oddVBand="0" w:evenVBand="0" w:oddHBand="1" w:evenHBand="0" w:firstRowFirstColumn="0" w:firstRowLastColumn="0" w:lastRowFirstColumn="0" w:lastRowLastColumn="0"/>
              <w:rPr>
                <w:b/>
                <w:i/>
              </w:rPr>
            </w:pPr>
            <w:r w:rsidRPr="004074B7">
              <w:rPr>
                <w:b/>
                <w:i/>
              </w:rPr>
              <w:t>$0.</w:t>
            </w:r>
            <w:r w:rsidR="004530EB">
              <w:rPr>
                <w:b/>
                <w:i/>
              </w:rPr>
              <w:t>9</w:t>
            </w:r>
          </w:p>
        </w:tc>
      </w:tr>
    </w:tbl>
    <w:p w14:paraId="7CF61AD6" w14:textId="77777777" w:rsidR="00AE5781" w:rsidRDefault="00AE5781" w:rsidP="002879EB">
      <w:pPr>
        <w:spacing w:after="0"/>
        <w:jc w:val="both"/>
      </w:pPr>
    </w:p>
    <w:p w14:paraId="0870872C" w14:textId="77777777" w:rsidR="001753C7" w:rsidRPr="00926A1F" w:rsidRDefault="001753C7" w:rsidP="00F6227C">
      <w:pPr>
        <w:spacing w:after="120"/>
        <w:jc w:val="both"/>
        <w:rPr>
          <w:i/>
        </w:rPr>
      </w:pPr>
      <w:r w:rsidRPr="00926A1F">
        <w:rPr>
          <w:i/>
        </w:rPr>
        <w:t>Explanation of broadband financial information:</w:t>
      </w:r>
    </w:p>
    <w:p w14:paraId="5FFE472C" w14:textId="77777777" w:rsidR="00D24825" w:rsidRDefault="001753C7" w:rsidP="00C23181">
      <w:pPr>
        <w:jc w:val="both"/>
      </w:pPr>
      <w:r>
        <w:t>Revenues: Amounts charged to Retail Service Providers (RSPs) who provide service to the end user.</w:t>
      </w:r>
    </w:p>
    <w:p w14:paraId="38FD58EC" w14:textId="471B4E71" w:rsidR="001753C7" w:rsidRDefault="001753C7" w:rsidP="00C23181">
      <w:pPr>
        <w:jc w:val="both"/>
      </w:pPr>
      <w:r>
        <w:t>Expenses: Expenses incurred to operate and maintain the broadband system.</w:t>
      </w:r>
      <w:r w:rsidR="002879EB">
        <w:t xml:space="preserve"> Amount includes nonoperating expense</w:t>
      </w:r>
      <w:r w:rsidR="00BB3B30">
        <w:t>s</w:t>
      </w:r>
      <w:r w:rsidR="002879EB">
        <w:t xml:space="preserve"> for </w:t>
      </w:r>
      <w:proofErr w:type="spellStart"/>
      <w:r w:rsidR="002879EB">
        <w:t>NoaNet</w:t>
      </w:r>
      <w:proofErr w:type="spellEnd"/>
      <w:r w:rsidR="002879EB">
        <w:t xml:space="preserve"> support.</w:t>
      </w:r>
    </w:p>
    <w:p w14:paraId="1423328B" w14:textId="77777777" w:rsidR="00130ABF" w:rsidRDefault="00130ABF" w:rsidP="00C23181">
      <w:pPr>
        <w:jc w:val="both"/>
      </w:pPr>
      <w:r>
        <w:t>Capital Investment: Expenditures made to install fiber throughout our community.</w:t>
      </w:r>
    </w:p>
    <w:p w14:paraId="2556BFC3" w14:textId="4A80FEEA" w:rsidR="002D0E3C" w:rsidRDefault="00130ABF" w:rsidP="00C23181">
      <w:pPr>
        <w:jc w:val="both"/>
      </w:pPr>
      <w:r>
        <w:lastRenderedPageBreak/>
        <w:t xml:space="preserve">Partnerships/Grants: </w:t>
      </w:r>
      <w:r w:rsidR="002D0E3C">
        <w:t>A</w:t>
      </w:r>
      <w:r>
        <w:t xml:space="preserve"> significant portion of the capital investment </w:t>
      </w:r>
      <w:r w:rsidR="002D0E3C">
        <w:t xml:space="preserve">has been paid </w:t>
      </w:r>
      <w:r>
        <w:t xml:space="preserve">through partnerships and grants. </w:t>
      </w:r>
      <w:r w:rsidR="00F464CD">
        <w:t xml:space="preserve">These have included federal and state agency funds as well as national and local private business entities. </w:t>
      </w:r>
    </w:p>
    <w:p w14:paraId="0C075756" w14:textId="0EF4A8D6" w:rsidR="00130ABF" w:rsidRDefault="00130ABF" w:rsidP="00C23181">
      <w:pPr>
        <w:jc w:val="both"/>
      </w:pPr>
      <w:r>
        <w:t xml:space="preserve">Net Cash Flow: This represents the total amount of cash expenditures. </w:t>
      </w:r>
      <w:r w:rsidR="002D0E3C">
        <w:t>The net cash outflow of $</w:t>
      </w:r>
      <w:r w:rsidR="009B40D2">
        <w:t>4.</w:t>
      </w:r>
      <w:r w:rsidR="00D67521">
        <w:t>8</w:t>
      </w:r>
      <w:r w:rsidR="00884B54">
        <w:t xml:space="preserve">M </w:t>
      </w:r>
      <w:r w:rsidR="002D0E3C">
        <w:t xml:space="preserve">has funded 1) </w:t>
      </w:r>
      <w:r w:rsidR="00E81818" w:rsidRPr="005B2E0D">
        <w:t>4</w:t>
      </w:r>
      <w:r w:rsidR="00E81818">
        <w:t>99</w:t>
      </w:r>
      <w:r w:rsidR="00E81818" w:rsidRPr="009E2F78">
        <w:t xml:space="preserve"> </w:t>
      </w:r>
      <w:r w:rsidR="002D0E3C" w:rsidRPr="009E2F78">
        <w:t>miles</w:t>
      </w:r>
      <w:r w:rsidR="002D0E3C">
        <w:t xml:space="preserve"> of fiber-optic cable and other assets throughout Benton County with a net book value of $</w:t>
      </w:r>
      <w:r w:rsidR="00E81818">
        <w:t>12.</w:t>
      </w:r>
      <w:r w:rsidR="000F6F84">
        <w:t>1M</w:t>
      </w:r>
      <w:r w:rsidR="002D0E3C">
        <w:t xml:space="preserve">, and 2) a 20.72% ownership in </w:t>
      </w:r>
      <w:proofErr w:type="spellStart"/>
      <w:r w:rsidR="002D0E3C">
        <w:t>NoaNet</w:t>
      </w:r>
      <w:proofErr w:type="spellEnd"/>
      <w:r w:rsidR="002D0E3C">
        <w:t xml:space="preserve"> with a net book </w:t>
      </w:r>
      <w:r w:rsidR="004E316C">
        <w:t xml:space="preserve">value </w:t>
      </w:r>
      <w:r w:rsidR="002D0E3C">
        <w:t>of approximately $</w:t>
      </w:r>
      <w:r w:rsidR="004431A1">
        <w:t>68M</w:t>
      </w:r>
      <w:r w:rsidR="002D0E3C">
        <w:t xml:space="preserve">.   </w:t>
      </w:r>
      <w:r>
        <w:t>Broadband has been cash flow positive since 2011.</w:t>
      </w:r>
      <w:r w:rsidR="002D0E3C">
        <w:t xml:space="preserve">  </w:t>
      </w:r>
    </w:p>
    <w:p w14:paraId="10AE3A43" w14:textId="77777777" w:rsidR="00240323" w:rsidRDefault="00240323" w:rsidP="00C23181">
      <w:pPr>
        <w:jc w:val="both"/>
      </w:pPr>
      <w:r>
        <w:t xml:space="preserve">Benton PUD includes a </w:t>
      </w:r>
      <w:r w:rsidR="009E2F78">
        <w:t>b</w:t>
      </w:r>
      <w:r>
        <w:t xml:space="preserve">roadband report in each month’s financial statement packet.  </w:t>
      </w:r>
    </w:p>
    <w:p w14:paraId="06FDE2C7" w14:textId="77777777" w:rsidR="002A0442" w:rsidRPr="000B7786" w:rsidRDefault="005B1FE8" w:rsidP="000B7786">
      <w:pPr>
        <w:spacing w:after="0"/>
        <w:jc w:val="both"/>
        <w:rPr>
          <w:rFonts w:ascii="Tahoma" w:hAnsi="Tahoma" w:cs="Tahoma"/>
          <w:sz w:val="28"/>
          <w:szCs w:val="28"/>
        </w:rPr>
      </w:pPr>
      <w:r w:rsidRPr="000E0BB0">
        <w:rPr>
          <w:rFonts w:ascii="Tahoma" w:hAnsi="Tahoma" w:cs="Tahoma"/>
          <w:color w:val="365F91" w:themeColor="accent1" w:themeShade="BF"/>
          <w:sz w:val="28"/>
          <w:szCs w:val="28"/>
        </w:rPr>
        <w:t xml:space="preserve">How </w:t>
      </w:r>
      <w:r w:rsidR="00275BBF">
        <w:rPr>
          <w:rFonts w:ascii="Tahoma" w:hAnsi="Tahoma" w:cs="Tahoma"/>
          <w:color w:val="365F91" w:themeColor="accent1" w:themeShade="BF"/>
          <w:sz w:val="28"/>
          <w:szCs w:val="28"/>
        </w:rPr>
        <w:t>W</w:t>
      </w:r>
      <w:r w:rsidRPr="000E0BB0">
        <w:rPr>
          <w:rFonts w:ascii="Tahoma" w:hAnsi="Tahoma" w:cs="Tahoma"/>
          <w:color w:val="365F91" w:themeColor="accent1" w:themeShade="BF"/>
          <w:sz w:val="28"/>
          <w:szCs w:val="28"/>
        </w:rPr>
        <w:t xml:space="preserve">holesale Broadband </w:t>
      </w:r>
      <w:r w:rsidR="00275BBF">
        <w:rPr>
          <w:rFonts w:ascii="Tahoma" w:hAnsi="Tahoma" w:cs="Tahoma"/>
          <w:color w:val="365F91" w:themeColor="accent1" w:themeShade="BF"/>
          <w:sz w:val="28"/>
          <w:szCs w:val="28"/>
        </w:rPr>
        <w:t>R</w:t>
      </w:r>
      <w:r w:rsidRPr="000E0BB0">
        <w:rPr>
          <w:rFonts w:ascii="Tahoma" w:hAnsi="Tahoma" w:cs="Tahoma"/>
          <w:color w:val="365F91" w:themeColor="accent1" w:themeShade="BF"/>
          <w:sz w:val="28"/>
          <w:szCs w:val="28"/>
        </w:rPr>
        <w:t xml:space="preserve">ates are </w:t>
      </w:r>
      <w:r w:rsidR="00275BBF">
        <w:rPr>
          <w:rFonts w:ascii="Tahoma" w:hAnsi="Tahoma" w:cs="Tahoma"/>
          <w:color w:val="365F91" w:themeColor="accent1" w:themeShade="BF"/>
          <w:sz w:val="28"/>
          <w:szCs w:val="28"/>
        </w:rPr>
        <w:t>S</w:t>
      </w:r>
      <w:r w:rsidRPr="000E0BB0">
        <w:rPr>
          <w:rFonts w:ascii="Tahoma" w:hAnsi="Tahoma" w:cs="Tahoma"/>
          <w:color w:val="365F91" w:themeColor="accent1" w:themeShade="BF"/>
          <w:sz w:val="28"/>
          <w:szCs w:val="28"/>
        </w:rPr>
        <w:t>et</w:t>
      </w:r>
    </w:p>
    <w:p w14:paraId="54F195E1" w14:textId="6921FAE3" w:rsidR="000B0C4D" w:rsidRDefault="000B0C4D" w:rsidP="00C23181">
      <w:pPr>
        <w:jc w:val="both"/>
      </w:pPr>
      <w:r>
        <w:t>Our broadband business operates in a competitive market where customers choose providers based on bandwidth needs, relative prices to the competition, and quality of service. As such, we use a broader set of competitive pricing principles with the objective of maximizing positive cash flows for our broadband business over time.</w:t>
      </w:r>
    </w:p>
    <w:p w14:paraId="530FAB4F" w14:textId="57A2BBFE" w:rsidR="00F8597D" w:rsidRDefault="005B1FE8" w:rsidP="00C23181">
      <w:pPr>
        <w:jc w:val="both"/>
      </w:pPr>
      <w:r>
        <w:t xml:space="preserve">Setting broadband rates is </w:t>
      </w:r>
      <w:r w:rsidR="000B0C4D">
        <w:t xml:space="preserve">fundamentally </w:t>
      </w:r>
      <w:r>
        <w:t xml:space="preserve">different from setting electric rates.  Electric utilities operate in a regulated monopoly. </w:t>
      </w:r>
      <w:r w:rsidR="00F8597D">
        <w:t>Since there is no competition in a regulated monopoly, e</w:t>
      </w:r>
      <w:r>
        <w:t xml:space="preserve">lectric rates are set on a cost-based approach using a </w:t>
      </w:r>
      <w:proofErr w:type="gramStart"/>
      <w:r>
        <w:t>Cost of Service</w:t>
      </w:r>
      <w:proofErr w:type="gramEnd"/>
      <w:r>
        <w:t xml:space="preserve"> Analysis </w:t>
      </w:r>
      <w:r w:rsidR="00F8597D">
        <w:t xml:space="preserve">(COSA) </w:t>
      </w:r>
      <w:r>
        <w:t xml:space="preserve">to establish rates.  </w:t>
      </w:r>
    </w:p>
    <w:p w14:paraId="1B2BD5FC" w14:textId="2BD8DDF1" w:rsidR="005B1FE8" w:rsidRPr="005B1FE8" w:rsidRDefault="005B1FE8" w:rsidP="00C23181">
      <w:pPr>
        <w:spacing w:after="0"/>
        <w:jc w:val="both"/>
      </w:pPr>
      <w:r>
        <w:t xml:space="preserve">Broadband rates are set to generate as much revenue as possible </w:t>
      </w:r>
      <w:proofErr w:type="gramStart"/>
      <w:r>
        <w:t>in</w:t>
      </w:r>
      <w:r w:rsidR="00C70A1C">
        <w:t xml:space="preserve"> </w:t>
      </w:r>
      <w:r>
        <w:t>order to</w:t>
      </w:r>
      <w:proofErr w:type="gramEnd"/>
      <w:r>
        <w:t xml:space="preserve"> cover operations, maintenance, and capital costs to generate a positive cash flow</w:t>
      </w:r>
      <w:r w:rsidR="00835550">
        <w:t xml:space="preserve"> over time</w:t>
      </w:r>
      <w:r>
        <w:t xml:space="preserve">. </w:t>
      </w:r>
      <w:r w:rsidR="00CB69F1">
        <w:t xml:space="preserve">National and regional markets influence broadband prices in the Tri-Cities. </w:t>
      </w:r>
      <w:r w:rsidR="00CB69F1" w:rsidRPr="00CB69F1">
        <w:t xml:space="preserve">These markets are comprised of large telecommunication and cable companies with end-user (retail) relationships spanning residential and business class broadband services. </w:t>
      </w:r>
      <w:r w:rsidR="00CB69F1">
        <w:t>If prices are higher than the market, customers are likely to find another provider leading to a decrease in revenue.</w:t>
      </w:r>
    </w:p>
    <w:sectPr w:rsidR="005B1FE8" w:rsidRPr="005B1FE8" w:rsidSect="00C23181">
      <w:footerReference w:type="default" r:id="rId11"/>
      <w:pgSz w:w="12240" w:h="15840"/>
      <w:pgMar w:top="1440" w:right="36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2833" w14:textId="77777777" w:rsidR="006E0B5A" w:rsidRDefault="006E0B5A" w:rsidP="006E0B5A">
      <w:pPr>
        <w:spacing w:after="0" w:line="240" w:lineRule="auto"/>
      </w:pPr>
      <w:r>
        <w:separator/>
      </w:r>
    </w:p>
  </w:endnote>
  <w:endnote w:type="continuationSeparator" w:id="0">
    <w:p w14:paraId="3811FF01" w14:textId="77777777" w:rsidR="006E0B5A" w:rsidRDefault="006E0B5A" w:rsidP="006E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5"/>
      <w:gridCol w:w="6395"/>
    </w:tblGrid>
    <w:tr w:rsidR="00C97C00" w14:paraId="7B0353AB" w14:textId="77777777">
      <w:tc>
        <w:tcPr>
          <w:tcW w:w="918" w:type="dxa"/>
        </w:tcPr>
        <w:p w14:paraId="6AFB8D0A" w14:textId="77777777" w:rsidR="00C97C00" w:rsidRDefault="00C97C00">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D48B8" w:rsidRPr="00AD48B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F5E983E" w14:textId="7D9D313E" w:rsidR="00C97C00" w:rsidRPr="00C97C00" w:rsidRDefault="008B6FAD" w:rsidP="00B43387">
          <w:pPr>
            <w:pStyle w:val="Footer"/>
            <w:rPr>
              <w:sz w:val="18"/>
              <w:szCs w:val="18"/>
            </w:rPr>
          </w:pPr>
          <w:r>
            <w:rPr>
              <w:sz w:val="18"/>
              <w:szCs w:val="18"/>
            </w:rPr>
            <w:t>April</w:t>
          </w:r>
          <w:r w:rsidR="00786B42">
            <w:rPr>
              <w:sz w:val="18"/>
              <w:szCs w:val="18"/>
            </w:rPr>
            <w:t xml:space="preserve"> 202</w:t>
          </w:r>
          <w:r w:rsidR="00D26164">
            <w:rPr>
              <w:sz w:val="18"/>
              <w:szCs w:val="18"/>
            </w:rPr>
            <w:t>2</w:t>
          </w:r>
        </w:p>
      </w:tc>
    </w:tr>
  </w:tbl>
  <w:p w14:paraId="49ADBC75" w14:textId="77777777" w:rsidR="00C97C00" w:rsidRDefault="00C97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DE93" w14:textId="77777777" w:rsidR="006E0B5A" w:rsidRDefault="006E0B5A" w:rsidP="006E0B5A">
      <w:pPr>
        <w:spacing w:after="0" w:line="240" w:lineRule="auto"/>
      </w:pPr>
      <w:r>
        <w:separator/>
      </w:r>
    </w:p>
  </w:footnote>
  <w:footnote w:type="continuationSeparator" w:id="0">
    <w:p w14:paraId="58FB5906" w14:textId="77777777" w:rsidR="006E0B5A" w:rsidRDefault="006E0B5A" w:rsidP="006E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F4B06"/>
    <w:multiLevelType w:val="hybridMultilevel"/>
    <w:tmpl w:val="ECDC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80D7A"/>
    <w:multiLevelType w:val="hybridMultilevel"/>
    <w:tmpl w:val="B50C3E36"/>
    <w:lvl w:ilvl="0" w:tplc="795894B0">
      <w:start w:val="3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D7903"/>
    <w:multiLevelType w:val="hybridMultilevel"/>
    <w:tmpl w:val="CA22F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42"/>
    <w:rsid w:val="00001EE7"/>
    <w:rsid w:val="00011702"/>
    <w:rsid w:val="00013BB4"/>
    <w:rsid w:val="0002335A"/>
    <w:rsid w:val="000630FB"/>
    <w:rsid w:val="00082806"/>
    <w:rsid w:val="00087CE3"/>
    <w:rsid w:val="000B0C4D"/>
    <w:rsid w:val="000B7786"/>
    <w:rsid w:val="000C6D66"/>
    <w:rsid w:val="000D0893"/>
    <w:rsid w:val="000D2103"/>
    <w:rsid w:val="000E0BB0"/>
    <w:rsid w:val="000F6F84"/>
    <w:rsid w:val="00130ABF"/>
    <w:rsid w:val="001700AC"/>
    <w:rsid w:val="00173B53"/>
    <w:rsid w:val="001753C7"/>
    <w:rsid w:val="00181720"/>
    <w:rsid w:val="0018564A"/>
    <w:rsid w:val="00193A9C"/>
    <w:rsid w:val="0019503F"/>
    <w:rsid w:val="001D637E"/>
    <w:rsid w:val="001E6772"/>
    <w:rsid w:val="001F77B1"/>
    <w:rsid w:val="00206805"/>
    <w:rsid w:val="00212AFA"/>
    <w:rsid w:val="00240323"/>
    <w:rsid w:val="00244E4F"/>
    <w:rsid w:val="002451CA"/>
    <w:rsid w:val="0025332A"/>
    <w:rsid w:val="00275BBF"/>
    <w:rsid w:val="002879EB"/>
    <w:rsid w:val="002A0442"/>
    <w:rsid w:val="002B356A"/>
    <w:rsid w:val="002D0E3C"/>
    <w:rsid w:val="002E1FEC"/>
    <w:rsid w:val="00302C2B"/>
    <w:rsid w:val="00316AA9"/>
    <w:rsid w:val="00347061"/>
    <w:rsid w:val="00350375"/>
    <w:rsid w:val="003574B6"/>
    <w:rsid w:val="00374A05"/>
    <w:rsid w:val="0038617D"/>
    <w:rsid w:val="003C4E80"/>
    <w:rsid w:val="003D7EF2"/>
    <w:rsid w:val="004074B7"/>
    <w:rsid w:val="004213E1"/>
    <w:rsid w:val="0042164D"/>
    <w:rsid w:val="00427F62"/>
    <w:rsid w:val="004406F1"/>
    <w:rsid w:val="004431A1"/>
    <w:rsid w:val="0044539E"/>
    <w:rsid w:val="004530EB"/>
    <w:rsid w:val="00453CEF"/>
    <w:rsid w:val="004600CC"/>
    <w:rsid w:val="00470971"/>
    <w:rsid w:val="0047635F"/>
    <w:rsid w:val="0048546D"/>
    <w:rsid w:val="004A560B"/>
    <w:rsid w:val="004E316C"/>
    <w:rsid w:val="004F7DCE"/>
    <w:rsid w:val="00524E90"/>
    <w:rsid w:val="005307E3"/>
    <w:rsid w:val="0053183D"/>
    <w:rsid w:val="00533AFF"/>
    <w:rsid w:val="00535107"/>
    <w:rsid w:val="00535135"/>
    <w:rsid w:val="005353A5"/>
    <w:rsid w:val="005525D3"/>
    <w:rsid w:val="005908E2"/>
    <w:rsid w:val="005B1FE8"/>
    <w:rsid w:val="005B2E0D"/>
    <w:rsid w:val="005C00E7"/>
    <w:rsid w:val="005D4FEE"/>
    <w:rsid w:val="005D67BC"/>
    <w:rsid w:val="005E4E77"/>
    <w:rsid w:val="005F1413"/>
    <w:rsid w:val="005F4CF3"/>
    <w:rsid w:val="00631F21"/>
    <w:rsid w:val="00631F90"/>
    <w:rsid w:val="006574F1"/>
    <w:rsid w:val="006C0877"/>
    <w:rsid w:val="006E0B5A"/>
    <w:rsid w:val="007147D6"/>
    <w:rsid w:val="00722029"/>
    <w:rsid w:val="007339CF"/>
    <w:rsid w:val="007400AB"/>
    <w:rsid w:val="007473A6"/>
    <w:rsid w:val="00767638"/>
    <w:rsid w:val="00786B42"/>
    <w:rsid w:val="00796647"/>
    <w:rsid w:val="007C0BEE"/>
    <w:rsid w:val="00835550"/>
    <w:rsid w:val="00836DC4"/>
    <w:rsid w:val="0084784C"/>
    <w:rsid w:val="00884B54"/>
    <w:rsid w:val="008B6FAD"/>
    <w:rsid w:val="00926A1F"/>
    <w:rsid w:val="009409B9"/>
    <w:rsid w:val="0095335D"/>
    <w:rsid w:val="00956671"/>
    <w:rsid w:val="00960EE2"/>
    <w:rsid w:val="00993BB4"/>
    <w:rsid w:val="009A5C20"/>
    <w:rsid w:val="009B40D2"/>
    <w:rsid w:val="009C5A7D"/>
    <w:rsid w:val="009C7DBF"/>
    <w:rsid w:val="009D086B"/>
    <w:rsid w:val="009E2F78"/>
    <w:rsid w:val="009F13BA"/>
    <w:rsid w:val="00A3504D"/>
    <w:rsid w:val="00A45C01"/>
    <w:rsid w:val="00A52BD0"/>
    <w:rsid w:val="00AA1105"/>
    <w:rsid w:val="00AA7424"/>
    <w:rsid w:val="00AB45D6"/>
    <w:rsid w:val="00AB5D02"/>
    <w:rsid w:val="00AD48B8"/>
    <w:rsid w:val="00AE5781"/>
    <w:rsid w:val="00B26FDA"/>
    <w:rsid w:val="00B43387"/>
    <w:rsid w:val="00B52315"/>
    <w:rsid w:val="00BB3B30"/>
    <w:rsid w:val="00BB50B2"/>
    <w:rsid w:val="00BC6998"/>
    <w:rsid w:val="00BD30E4"/>
    <w:rsid w:val="00BF600F"/>
    <w:rsid w:val="00C0320E"/>
    <w:rsid w:val="00C152A4"/>
    <w:rsid w:val="00C23181"/>
    <w:rsid w:val="00C27BEF"/>
    <w:rsid w:val="00C67E78"/>
    <w:rsid w:val="00C70A1C"/>
    <w:rsid w:val="00C97C00"/>
    <w:rsid w:val="00CA296D"/>
    <w:rsid w:val="00CB69F1"/>
    <w:rsid w:val="00CB7755"/>
    <w:rsid w:val="00CC1CA6"/>
    <w:rsid w:val="00CD22FC"/>
    <w:rsid w:val="00D0280E"/>
    <w:rsid w:val="00D24825"/>
    <w:rsid w:val="00D26164"/>
    <w:rsid w:val="00D43183"/>
    <w:rsid w:val="00D55297"/>
    <w:rsid w:val="00D67521"/>
    <w:rsid w:val="00DA6C60"/>
    <w:rsid w:val="00DB4E25"/>
    <w:rsid w:val="00DB7009"/>
    <w:rsid w:val="00DC1FF4"/>
    <w:rsid w:val="00E1126D"/>
    <w:rsid w:val="00E12F3B"/>
    <w:rsid w:val="00E163A1"/>
    <w:rsid w:val="00E1704F"/>
    <w:rsid w:val="00E210FB"/>
    <w:rsid w:val="00E31420"/>
    <w:rsid w:val="00E37FFA"/>
    <w:rsid w:val="00E45277"/>
    <w:rsid w:val="00E458E7"/>
    <w:rsid w:val="00E50AE1"/>
    <w:rsid w:val="00E71263"/>
    <w:rsid w:val="00E81818"/>
    <w:rsid w:val="00E8403B"/>
    <w:rsid w:val="00E90CF9"/>
    <w:rsid w:val="00E9141B"/>
    <w:rsid w:val="00EE6F87"/>
    <w:rsid w:val="00F06317"/>
    <w:rsid w:val="00F36390"/>
    <w:rsid w:val="00F37EA6"/>
    <w:rsid w:val="00F464CD"/>
    <w:rsid w:val="00F47AA7"/>
    <w:rsid w:val="00F50EF9"/>
    <w:rsid w:val="00F5388C"/>
    <w:rsid w:val="00F6227C"/>
    <w:rsid w:val="00F8597D"/>
    <w:rsid w:val="00F91A37"/>
    <w:rsid w:val="00F91FE8"/>
    <w:rsid w:val="00FA24AF"/>
    <w:rsid w:val="00FA2C07"/>
    <w:rsid w:val="00FB0CF5"/>
    <w:rsid w:val="00FC1412"/>
    <w:rsid w:val="00FC69E8"/>
    <w:rsid w:val="00FE5B31"/>
    <w:rsid w:val="00FF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12C99A"/>
  <w15:docId w15:val="{119E8C03-463B-42E9-B309-B70F2562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C07"/>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FE8"/>
    <w:pPr>
      <w:ind w:left="720"/>
      <w:contextualSpacing/>
    </w:pPr>
  </w:style>
  <w:style w:type="paragraph" w:styleId="BalloonText">
    <w:name w:val="Balloon Text"/>
    <w:basedOn w:val="Normal"/>
    <w:link w:val="BalloonTextChar"/>
    <w:uiPriority w:val="99"/>
    <w:semiHidden/>
    <w:unhideWhenUsed/>
    <w:rsid w:val="00421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64D"/>
    <w:rPr>
      <w:rFonts w:ascii="Tahoma" w:hAnsi="Tahoma" w:cs="Tahoma"/>
      <w:sz w:val="16"/>
      <w:szCs w:val="16"/>
    </w:rPr>
  </w:style>
  <w:style w:type="character" w:styleId="CommentReference">
    <w:name w:val="annotation reference"/>
    <w:basedOn w:val="DefaultParagraphFont"/>
    <w:uiPriority w:val="99"/>
    <w:semiHidden/>
    <w:unhideWhenUsed/>
    <w:rsid w:val="001753C7"/>
    <w:rPr>
      <w:sz w:val="16"/>
      <w:szCs w:val="16"/>
    </w:rPr>
  </w:style>
  <w:style w:type="paragraph" w:styleId="CommentText">
    <w:name w:val="annotation text"/>
    <w:basedOn w:val="Normal"/>
    <w:link w:val="CommentTextChar"/>
    <w:uiPriority w:val="99"/>
    <w:semiHidden/>
    <w:unhideWhenUsed/>
    <w:rsid w:val="001753C7"/>
    <w:pPr>
      <w:spacing w:line="240" w:lineRule="auto"/>
    </w:pPr>
    <w:rPr>
      <w:sz w:val="20"/>
      <w:szCs w:val="20"/>
    </w:rPr>
  </w:style>
  <w:style w:type="character" w:customStyle="1" w:styleId="CommentTextChar">
    <w:name w:val="Comment Text Char"/>
    <w:basedOn w:val="DefaultParagraphFont"/>
    <w:link w:val="CommentText"/>
    <w:uiPriority w:val="99"/>
    <w:semiHidden/>
    <w:rsid w:val="001753C7"/>
    <w:rPr>
      <w:sz w:val="20"/>
      <w:szCs w:val="20"/>
    </w:rPr>
  </w:style>
  <w:style w:type="paragraph" w:styleId="CommentSubject">
    <w:name w:val="annotation subject"/>
    <w:basedOn w:val="CommentText"/>
    <w:next w:val="CommentText"/>
    <w:link w:val="CommentSubjectChar"/>
    <w:uiPriority w:val="99"/>
    <w:semiHidden/>
    <w:unhideWhenUsed/>
    <w:rsid w:val="001753C7"/>
    <w:rPr>
      <w:b/>
      <w:bCs/>
    </w:rPr>
  </w:style>
  <w:style w:type="character" w:customStyle="1" w:styleId="CommentSubjectChar">
    <w:name w:val="Comment Subject Char"/>
    <w:basedOn w:val="CommentTextChar"/>
    <w:link w:val="CommentSubject"/>
    <w:uiPriority w:val="99"/>
    <w:semiHidden/>
    <w:rsid w:val="001753C7"/>
    <w:rPr>
      <w:b/>
      <w:bCs/>
      <w:sz w:val="20"/>
      <w:szCs w:val="20"/>
    </w:rPr>
  </w:style>
  <w:style w:type="paragraph" w:styleId="NormalWeb">
    <w:name w:val="Normal (Web)"/>
    <w:basedOn w:val="Normal"/>
    <w:uiPriority w:val="99"/>
    <w:semiHidden/>
    <w:unhideWhenUsed/>
    <w:rsid w:val="00E4527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FA2C07"/>
    <w:rPr>
      <w:rFonts w:asciiTheme="majorHAnsi" w:eastAsiaTheme="majorEastAsia" w:hAnsiTheme="majorHAnsi" w:cstheme="majorBidi"/>
      <w:smallCaps/>
      <w:color w:val="0F243E" w:themeColor="text2" w:themeShade="7F"/>
      <w:spacing w:val="20"/>
      <w:sz w:val="32"/>
      <w:szCs w:val="32"/>
      <w:lang w:bidi="en-US"/>
    </w:rPr>
  </w:style>
  <w:style w:type="paragraph" w:styleId="PlainText">
    <w:name w:val="Plain Text"/>
    <w:basedOn w:val="Normal"/>
    <w:link w:val="PlainTextChar"/>
    <w:uiPriority w:val="99"/>
    <w:semiHidden/>
    <w:unhideWhenUsed/>
    <w:rsid w:val="00FA2C0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A2C07"/>
    <w:rPr>
      <w:rFonts w:ascii="Calibri" w:hAnsi="Calibri" w:cs="Times New Roman"/>
    </w:rPr>
  </w:style>
  <w:style w:type="table" w:styleId="LightList-Accent1">
    <w:name w:val="Light List Accent 1"/>
    <w:basedOn w:val="TableNormal"/>
    <w:uiPriority w:val="61"/>
    <w:rsid w:val="00AE57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AE57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1950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1950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6E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5A"/>
  </w:style>
  <w:style w:type="paragraph" w:styleId="Footer">
    <w:name w:val="footer"/>
    <w:basedOn w:val="Normal"/>
    <w:link w:val="FooterChar"/>
    <w:uiPriority w:val="99"/>
    <w:unhideWhenUsed/>
    <w:rsid w:val="006E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65039">
      <w:bodyDiv w:val="1"/>
      <w:marLeft w:val="0"/>
      <w:marRight w:val="0"/>
      <w:marTop w:val="0"/>
      <w:marBottom w:val="0"/>
      <w:divBdr>
        <w:top w:val="none" w:sz="0" w:space="0" w:color="auto"/>
        <w:left w:val="none" w:sz="0" w:space="0" w:color="auto"/>
        <w:bottom w:val="none" w:sz="0" w:space="0" w:color="auto"/>
        <w:right w:val="none" w:sz="0" w:space="0" w:color="auto"/>
      </w:divBdr>
      <w:divsChild>
        <w:div w:id="248085040">
          <w:marLeft w:val="0"/>
          <w:marRight w:val="0"/>
          <w:marTop w:val="0"/>
          <w:marBottom w:val="0"/>
          <w:divBdr>
            <w:top w:val="none" w:sz="0" w:space="0" w:color="auto"/>
            <w:left w:val="none" w:sz="0" w:space="0" w:color="auto"/>
            <w:bottom w:val="none" w:sz="0" w:space="0" w:color="auto"/>
            <w:right w:val="none" w:sz="0" w:space="0" w:color="auto"/>
          </w:divBdr>
          <w:divsChild>
            <w:div w:id="1511530625">
              <w:marLeft w:val="0"/>
              <w:marRight w:val="0"/>
              <w:marTop w:val="0"/>
              <w:marBottom w:val="0"/>
              <w:divBdr>
                <w:top w:val="none" w:sz="0" w:space="0" w:color="auto"/>
                <w:left w:val="none" w:sz="0" w:space="0" w:color="auto"/>
                <w:bottom w:val="none" w:sz="0" w:space="0" w:color="auto"/>
                <w:right w:val="none" w:sz="0" w:space="0" w:color="auto"/>
              </w:divBdr>
              <w:divsChild>
                <w:div w:id="62526341">
                  <w:marLeft w:val="0"/>
                  <w:marRight w:val="0"/>
                  <w:marTop w:val="0"/>
                  <w:marBottom w:val="0"/>
                  <w:divBdr>
                    <w:top w:val="none" w:sz="0" w:space="0" w:color="auto"/>
                    <w:left w:val="none" w:sz="0" w:space="0" w:color="auto"/>
                    <w:bottom w:val="none" w:sz="0" w:space="0" w:color="auto"/>
                    <w:right w:val="none" w:sz="0" w:space="0" w:color="auto"/>
                  </w:divBdr>
                  <w:divsChild>
                    <w:div w:id="1446002906">
                      <w:marLeft w:val="0"/>
                      <w:marRight w:val="0"/>
                      <w:marTop w:val="0"/>
                      <w:marBottom w:val="0"/>
                      <w:divBdr>
                        <w:top w:val="none" w:sz="0" w:space="0" w:color="auto"/>
                        <w:left w:val="none" w:sz="0" w:space="0" w:color="auto"/>
                        <w:bottom w:val="none" w:sz="0" w:space="0" w:color="auto"/>
                        <w:right w:val="none" w:sz="0" w:space="0" w:color="auto"/>
                      </w:divBdr>
                      <w:divsChild>
                        <w:div w:id="5459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16436">
      <w:bodyDiv w:val="1"/>
      <w:marLeft w:val="0"/>
      <w:marRight w:val="0"/>
      <w:marTop w:val="0"/>
      <w:marBottom w:val="0"/>
      <w:divBdr>
        <w:top w:val="none" w:sz="0" w:space="0" w:color="auto"/>
        <w:left w:val="none" w:sz="0" w:space="0" w:color="auto"/>
        <w:bottom w:val="none" w:sz="0" w:space="0" w:color="auto"/>
        <w:right w:val="none" w:sz="0" w:space="0" w:color="auto"/>
      </w:divBdr>
    </w:div>
    <w:div w:id="17286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6D7D-D6D5-490F-B039-2693D7A0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Benton PUD</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meyerj</dc:creator>
  <cp:keywords/>
  <dc:description/>
  <cp:lastModifiedBy>Kent Zirker</cp:lastModifiedBy>
  <cp:revision>6</cp:revision>
  <cp:lastPrinted>2022-04-25T21:23:00Z</cp:lastPrinted>
  <dcterms:created xsi:type="dcterms:W3CDTF">2022-04-22T19:58:00Z</dcterms:created>
  <dcterms:modified xsi:type="dcterms:W3CDTF">2022-05-05T17:21:00Z</dcterms:modified>
</cp:coreProperties>
</file>